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BC" w:rsidRPr="00EF5CBC" w:rsidRDefault="00EF5CBC" w:rsidP="00EF5CBC">
      <w:pPr>
        <w:widowControl w:val="0"/>
        <w:autoSpaceDE w:val="0"/>
        <w:autoSpaceDN w:val="0"/>
        <w:adjustRightInd w:val="0"/>
        <w:ind w:left="567" w:right="567"/>
        <w:jc w:val="center"/>
        <w:rPr>
          <w:rFonts w:ascii="Tahoma" w:hAnsi="Tahoma" w:cs="Tahoma"/>
          <w:b/>
          <w:bCs/>
          <w:sz w:val="22"/>
          <w:szCs w:val="22"/>
        </w:rPr>
      </w:pPr>
      <w:r w:rsidRPr="00EF5CBC">
        <w:rPr>
          <w:rFonts w:ascii="Tahoma" w:hAnsi="Tahoma" w:cs="Tahoma"/>
          <w:b/>
          <w:bCs/>
          <w:sz w:val="22"/>
          <w:szCs w:val="22"/>
        </w:rPr>
        <w:t>ACUERDO A ADOPTAR</w:t>
      </w:r>
    </w:p>
    <w:p w:rsidR="00EF5CBC" w:rsidRPr="00EF5CBC" w:rsidRDefault="00EF5CBC" w:rsidP="00EF5CBC">
      <w:pPr>
        <w:widowControl w:val="0"/>
        <w:autoSpaceDE w:val="0"/>
        <w:autoSpaceDN w:val="0"/>
        <w:adjustRightInd w:val="0"/>
        <w:ind w:left="567" w:right="567"/>
        <w:jc w:val="both"/>
        <w:rPr>
          <w:rFonts w:ascii="Tahoma" w:hAnsi="Tahoma" w:cs="Tahoma"/>
          <w:b/>
          <w:bCs/>
          <w:sz w:val="22"/>
          <w:szCs w:val="22"/>
        </w:rPr>
      </w:pPr>
    </w:p>
    <w:p w:rsidR="00EF5CBC" w:rsidRDefault="00EF5CBC" w:rsidP="00EF5CBC">
      <w:pPr>
        <w:widowControl w:val="0"/>
        <w:autoSpaceDE w:val="0"/>
        <w:autoSpaceDN w:val="0"/>
        <w:adjustRightInd w:val="0"/>
        <w:spacing w:line="360" w:lineRule="auto"/>
        <w:ind w:left="567" w:right="567"/>
        <w:jc w:val="both"/>
        <w:rPr>
          <w:rFonts w:ascii="Tahoma" w:hAnsi="Tahoma" w:cs="Tahoma"/>
          <w:bCs/>
          <w:sz w:val="22"/>
          <w:szCs w:val="22"/>
        </w:rPr>
      </w:pPr>
      <w:r w:rsidRPr="00EF5CBC">
        <w:rPr>
          <w:rFonts w:ascii="Tahoma" w:hAnsi="Tahoma" w:cs="Tahoma"/>
          <w:b/>
          <w:bCs/>
          <w:sz w:val="22"/>
          <w:szCs w:val="22"/>
        </w:rPr>
        <w:t>Primero.-</w:t>
      </w:r>
      <w:r w:rsidRPr="00EF5CBC">
        <w:rPr>
          <w:rFonts w:ascii="Tahoma" w:hAnsi="Tahoma" w:cs="Tahoma"/>
          <w:bCs/>
          <w:sz w:val="22"/>
          <w:szCs w:val="22"/>
        </w:rPr>
        <w:t xml:space="preserve"> En virtud de lo dispuesto en el artículo 219 del Real Decreto Legislativo 2/2004, de 5 de marzo, por el que se aprueba el Texto Refundido de la Ley Reguladora de las Haciendas Locales y en los artículos 9 y 13 del Real Decreto 424/2017, de 28 de abril, por el que se regula el régimen jurídico del control interno en las entidades del Sector Público Local, el Pleno de la Corporación, a propuesta del Alcalde-Presidente y previo informe del Interventor Municipal, adopta el </w:t>
      </w:r>
      <w:r w:rsidRPr="00EF5CBC">
        <w:rPr>
          <w:rFonts w:ascii="Tahoma" w:hAnsi="Tahoma" w:cs="Tahoma"/>
          <w:b/>
          <w:bCs/>
          <w:sz w:val="22"/>
          <w:szCs w:val="22"/>
        </w:rPr>
        <w:t>Acuerdo de adopción del régimen de fiscalización e intervención limitada previa de gastos u obligaciones y sustitución de la fiscalización previa de derechos e ingresos por la toma de razón en contabilidad en el Ayuntamiento de __________________________________,</w:t>
      </w:r>
      <w:r w:rsidRPr="00EF5CBC">
        <w:rPr>
          <w:rFonts w:ascii="Tahoma" w:hAnsi="Tahoma" w:cs="Tahoma"/>
          <w:bCs/>
          <w:sz w:val="22"/>
          <w:szCs w:val="22"/>
        </w:rPr>
        <w:t xml:space="preserve"> que se contempla en las Reglas siguientes.</w:t>
      </w:r>
    </w:p>
    <w:p w:rsidR="00657E82" w:rsidRPr="00EF5CBC" w:rsidRDefault="00657E82" w:rsidP="00EF5CBC">
      <w:pPr>
        <w:widowControl w:val="0"/>
        <w:autoSpaceDE w:val="0"/>
        <w:autoSpaceDN w:val="0"/>
        <w:adjustRightInd w:val="0"/>
        <w:spacing w:line="360" w:lineRule="auto"/>
        <w:ind w:left="567" w:right="567"/>
        <w:jc w:val="both"/>
        <w:rPr>
          <w:rFonts w:ascii="Tahoma" w:hAnsi="Tahoma" w:cs="Tahoma"/>
          <w:bCs/>
          <w:sz w:val="22"/>
          <w:szCs w:val="22"/>
        </w:rPr>
      </w:pPr>
    </w:p>
    <w:p w:rsidR="00EF5CBC" w:rsidRDefault="00EF5CBC" w:rsidP="00EF5CBC">
      <w:pPr>
        <w:widowControl w:val="0"/>
        <w:autoSpaceDE w:val="0"/>
        <w:autoSpaceDN w:val="0"/>
        <w:adjustRightInd w:val="0"/>
        <w:spacing w:line="360" w:lineRule="auto"/>
        <w:ind w:left="567" w:right="567"/>
        <w:jc w:val="both"/>
        <w:rPr>
          <w:rFonts w:ascii="Tahoma" w:hAnsi="Tahoma" w:cs="Tahoma"/>
          <w:sz w:val="22"/>
          <w:szCs w:val="22"/>
        </w:rPr>
      </w:pPr>
      <w:r w:rsidRPr="00EF5CBC">
        <w:rPr>
          <w:rFonts w:ascii="Tahoma" w:hAnsi="Tahoma" w:cs="Tahoma"/>
          <w:b/>
          <w:bCs/>
          <w:sz w:val="22"/>
          <w:szCs w:val="22"/>
        </w:rPr>
        <w:t>Segundo.-</w:t>
      </w:r>
      <w:r w:rsidRPr="00EF5CBC">
        <w:rPr>
          <w:rFonts w:ascii="Tahoma" w:hAnsi="Tahoma" w:cs="Tahoma"/>
          <w:bCs/>
          <w:sz w:val="22"/>
          <w:szCs w:val="22"/>
        </w:rPr>
        <w:t xml:space="preserve"> </w:t>
      </w:r>
      <w:r w:rsidRPr="00EF5CBC">
        <w:rPr>
          <w:rFonts w:ascii="Tahoma" w:hAnsi="Tahoma" w:cs="Tahoma"/>
          <w:sz w:val="22"/>
          <w:szCs w:val="22"/>
        </w:rPr>
        <w:t xml:space="preserve">Considerando necesaria la publicidad del mencionado Acuerdo, he resuelto ordenar su publicación en el Boletín Oficial  de la Provincia, </w:t>
      </w:r>
      <w:r w:rsidRPr="00EF5CBC">
        <w:rPr>
          <w:rFonts w:ascii="Tahoma" w:hAnsi="Tahoma" w:cs="Tahoma"/>
          <w:bCs/>
          <w:sz w:val="22"/>
          <w:szCs w:val="22"/>
        </w:rPr>
        <w:t xml:space="preserve">de acuerdo con lo dispuesto en el artículo 45 de la Ley 39/2015, de 1 de octubre, de Procedimiento Administrativo Común de las Administraciones Públicas, </w:t>
      </w:r>
      <w:r w:rsidRPr="00EF5CBC">
        <w:rPr>
          <w:rFonts w:ascii="Tahoma" w:hAnsi="Tahoma" w:cs="Tahoma"/>
          <w:sz w:val="22"/>
          <w:szCs w:val="22"/>
        </w:rPr>
        <w:t>a cuyo efecto figura su texto como anexo a esta Resolución.</w:t>
      </w: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A4376" w:rsidRPr="00EF5CBC" w:rsidRDefault="00EA4376" w:rsidP="00EF5CBC">
      <w:pPr>
        <w:widowControl w:val="0"/>
        <w:autoSpaceDE w:val="0"/>
        <w:autoSpaceDN w:val="0"/>
        <w:adjustRightInd w:val="0"/>
        <w:spacing w:line="360" w:lineRule="auto"/>
        <w:ind w:left="567" w:right="567"/>
        <w:jc w:val="both"/>
        <w:rPr>
          <w:rFonts w:ascii="Tahoma" w:hAnsi="Tahoma" w:cs="Tahoma"/>
          <w:sz w:val="22"/>
          <w:szCs w:val="22"/>
        </w:rPr>
      </w:pPr>
    </w:p>
    <w:p w:rsidR="00EF5CBC" w:rsidRDefault="00EF5CBC" w:rsidP="00EF5CBC">
      <w:pPr>
        <w:widowControl w:val="0"/>
        <w:autoSpaceDE w:val="0"/>
        <w:autoSpaceDN w:val="0"/>
        <w:adjustRightInd w:val="0"/>
        <w:spacing w:line="360" w:lineRule="auto"/>
        <w:ind w:left="567" w:right="567"/>
        <w:jc w:val="both"/>
        <w:rPr>
          <w:rFonts w:ascii="Tahoma" w:hAnsi="Tahoma" w:cs="Tahoma"/>
          <w:b/>
          <w:bCs/>
          <w:sz w:val="22"/>
          <w:szCs w:val="22"/>
        </w:rPr>
      </w:pPr>
      <w:r w:rsidRPr="00EF5CBC">
        <w:rPr>
          <w:rFonts w:ascii="Tahoma" w:hAnsi="Tahoma" w:cs="Tahoma"/>
          <w:b/>
          <w:bCs/>
          <w:sz w:val="22"/>
          <w:szCs w:val="22"/>
        </w:rPr>
        <w:lastRenderedPageBreak/>
        <w:t>Acuerdo de adopción del régimen de fiscalización e intervención limitada previa de gastos u obligaciones y sustitución de la fiscalización previa de derechos e ingresos por la toma de razón en contabilidad en el Ayuntamiento de __________________________________,</w:t>
      </w:r>
    </w:p>
    <w:p w:rsidR="00C61E2B" w:rsidRDefault="00C61E2B" w:rsidP="00EF5CBC">
      <w:pPr>
        <w:widowControl w:val="0"/>
        <w:autoSpaceDE w:val="0"/>
        <w:autoSpaceDN w:val="0"/>
        <w:adjustRightInd w:val="0"/>
        <w:spacing w:line="360" w:lineRule="auto"/>
        <w:ind w:left="567" w:right="567"/>
        <w:jc w:val="both"/>
        <w:rPr>
          <w:rFonts w:ascii="Tahoma" w:hAnsi="Tahoma" w:cs="Tahoma"/>
          <w:b/>
          <w:bCs/>
          <w:sz w:val="22"/>
          <w:szCs w:val="22"/>
        </w:rPr>
      </w:pPr>
    </w:p>
    <w:p w:rsidR="00C61E2B" w:rsidRDefault="00C61E2B" w:rsidP="00EF5CBC">
      <w:pPr>
        <w:widowControl w:val="0"/>
        <w:autoSpaceDE w:val="0"/>
        <w:autoSpaceDN w:val="0"/>
        <w:adjustRightInd w:val="0"/>
        <w:spacing w:line="360" w:lineRule="auto"/>
        <w:ind w:left="567" w:right="567"/>
        <w:jc w:val="both"/>
        <w:rPr>
          <w:rFonts w:ascii="Tahoma" w:hAnsi="Tahoma" w:cs="Tahoma"/>
          <w:b/>
          <w:bCs/>
          <w:sz w:val="22"/>
          <w:szCs w:val="22"/>
        </w:rPr>
      </w:pPr>
      <w:r>
        <w:rPr>
          <w:rFonts w:ascii="Tahoma" w:hAnsi="Tahoma" w:cs="Tahoma"/>
          <w:b/>
          <w:bCs/>
          <w:sz w:val="22"/>
          <w:szCs w:val="22"/>
        </w:rPr>
        <w:t>ÍNDICE:</w:t>
      </w:r>
    </w:p>
    <w:p w:rsidR="00EA4376" w:rsidRPr="00EA4376" w:rsidRDefault="00C61E2B" w:rsidP="00EA4376">
      <w:pPr>
        <w:widowControl w:val="0"/>
        <w:spacing w:line="100" w:lineRule="atLeast"/>
        <w:ind w:left="567" w:right="567"/>
        <w:jc w:val="both"/>
        <w:rPr>
          <w:rFonts w:ascii="Tahoma" w:hAnsi="Tahoma" w:cs="Tahoma"/>
          <w:b/>
          <w:color w:val="000000" w:themeColor="text1"/>
          <w:sz w:val="22"/>
          <w:szCs w:val="22"/>
        </w:rPr>
      </w:pPr>
      <w:r w:rsidRPr="00EA4376">
        <w:rPr>
          <w:rFonts w:ascii="Tahoma" w:hAnsi="Tahoma" w:cs="Tahoma"/>
          <w:b/>
          <w:color w:val="000000" w:themeColor="text1"/>
          <w:sz w:val="22"/>
          <w:szCs w:val="22"/>
        </w:rPr>
        <w:t xml:space="preserve">Regla 1. </w:t>
      </w:r>
      <w:r w:rsidRPr="00EA4376">
        <w:rPr>
          <w:rFonts w:ascii="Tahoma" w:hAnsi="Tahoma" w:cs="Tahoma"/>
          <w:color w:val="000000" w:themeColor="text1"/>
          <w:sz w:val="22"/>
          <w:szCs w:val="22"/>
        </w:rPr>
        <w:t>Objeto y modalidades.</w:t>
      </w:r>
    </w:p>
    <w:p w:rsidR="00C61E2B" w:rsidRPr="00EA4376" w:rsidRDefault="00C61E2B" w:rsidP="00EA4376">
      <w:pPr>
        <w:widowControl w:val="0"/>
        <w:spacing w:line="100" w:lineRule="atLeast"/>
        <w:ind w:left="567" w:right="567"/>
        <w:jc w:val="both"/>
        <w:rPr>
          <w:rFonts w:ascii="Tahoma" w:hAnsi="Tahoma" w:cs="Tahoma"/>
          <w:b/>
          <w:color w:val="000000" w:themeColor="text1"/>
          <w:sz w:val="22"/>
          <w:szCs w:val="22"/>
        </w:rPr>
      </w:pPr>
      <w:r w:rsidRPr="00EA4376">
        <w:rPr>
          <w:rFonts w:ascii="Tahoma" w:hAnsi="Tahoma" w:cs="Tahoma"/>
          <w:b/>
          <w:color w:val="000000" w:themeColor="text1"/>
          <w:sz w:val="22"/>
          <w:szCs w:val="22"/>
        </w:rPr>
        <w:t>TÍTULO I: FISCALIZACIÓN PREVIA LIMITADA DE INGRESOS.</w:t>
      </w:r>
    </w:p>
    <w:p w:rsidR="00C61E2B" w:rsidRPr="00EA4376" w:rsidRDefault="00C61E2B" w:rsidP="00C61E2B">
      <w:pPr>
        <w:widowControl w:val="0"/>
        <w:spacing w:line="100" w:lineRule="atLeast"/>
        <w:ind w:left="567" w:right="567"/>
        <w:jc w:val="both"/>
        <w:rPr>
          <w:rFonts w:ascii="Tahoma" w:hAnsi="Tahoma" w:cs="Tahoma"/>
          <w:color w:val="000000" w:themeColor="text1"/>
          <w:sz w:val="22"/>
          <w:szCs w:val="22"/>
        </w:rPr>
      </w:pPr>
      <w:r w:rsidRPr="00EA4376">
        <w:rPr>
          <w:rFonts w:ascii="Tahoma" w:hAnsi="Tahoma" w:cs="Tahoma"/>
          <w:b/>
          <w:color w:val="000000" w:themeColor="text1"/>
          <w:sz w:val="22"/>
          <w:szCs w:val="22"/>
        </w:rPr>
        <w:t xml:space="preserve">Regla 2. </w:t>
      </w:r>
      <w:r w:rsidRPr="00EA4376">
        <w:rPr>
          <w:rFonts w:ascii="Tahoma" w:hAnsi="Tahoma" w:cs="Tahoma"/>
          <w:color w:val="000000" w:themeColor="text1"/>
          <w:sz w:val="22"/>
          <w:szCs w:val="22"/>
        </w:rPr>
        <w:t>Fiscalización previa.</w:t>
      </w:r>
    </w:p>
    <w:p w:rsidR="00C61E2B" w:rsidRPr="00EF5CBC" w:rsidRDefault="00C61E2B" w:rsidP="00C61E2B">
      <w:pPr>
        <w:widowControl w:val="0"/>
        <w:autoSpaceDE w:val="0"/>
        <w:autoSpaceDN w:val="0"/>
        <w:adjustRightInd w:val="0"/>
        <w:ind w:left="567" w:right="567"/>
        <w:jc w:val="both"/>
        <w:rPr>
          <w:rFonts w:ascii="Tahoma" w:hAnsi="Tahoma" w:cs="Tahoma"/>
          <w:b/>
          <w:bCs/>
          <w:sz w:val="22"/>
          <w:szCs w:val="22"/>
        </w:rPr>
      </w:pPr>
      <w:r w:rsidRPr="00EF5CBC">
        <w:rPr>
          <w:rFonts w:ascii="Tahoma" w:hAnsi="Tahoma" w:cs="Tahoma"/>
          <w:b/>
          <w:bCs/>
          <w:sz w:val="22"/>
          <w:szCs w:val="22"/>
        </w:rPr>
        <w:t xml:space="preserve">Regla 3. </w:t>
      </w:r>
      <w:r w:rsidRPr="00EA4376">
        <w:rPr>
          <w:rFonts w:ascii="Tahoma" w:hAnsi="Tahoma" w:cs="Tahoma"/>
          <w:bCs/>
          <w:sz w:val="22"/>
          <w:szCs w:val="22"/>
        </w:rPr>
        <w:t>Comprobaciones posteriores.</w:t>
      </w:r>
    </w:p>
    <w:p w:rsidR="00C61E2B" w:rsidRPr="00EF5CBC" w:rsidRDefault="00C61E2B" w:rsidP="00EA4376">
      <w:pPr>
        <w:widowControl w:val="0"/>
        <w:spacing w:line="100" w:lineRule="atLeast"/>
        <w:ind w:left="567" w:right="567"/>
        <w:rPr>
          <w:rFonts w:ascii="Tahoma" w:hAnsi="Tahoma" w:cs="Tahoma"/>
          <w:b/>
          <w:bCs/>
          <w:sz w:val="22"/>
          <w:szCs w:val="22"/>
        </w:rPr>
      </w:pPr>
      <w:r w:rsidRPr="00EF5CBC">
        <w:rPr>
          <w:rFonts w:ascii="Tahoma" w:hAnsi="Tahoma" w:cs="Tahoma"/>
          <w:b/>
          <w:bCs/>
          <w:sz w:val="22"/>
          <w:szCs w:val="22"/>
        </w:rPr>
        <w:t>TÍTULO II: FISCALIZACIÓN PREVIA LIMITADA DE GASTOS.</w:t>
      </w:r>
    </w:p>
    <w:p w:rsidR="00C61E2B" w:rsidRPr="00EF5CBC" w:rsidRDefault="00C61E2B" w:rsidP="00C61E2B">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Regla 4. </w:t>
      </w:r>
      <w:r w:rsidRPr="00EA4376">
        <w:rPr>
          <w:rFonts w:ascii="Tahoma" w:hAnsi="Tahoma" w:cs="Tahoma"/>
          <w:bCs/>
          <w:sz w:val="22"/>
          <w:szCs w:val="22"/>
        </w:rPr>
        <w:t>Régimen general y exención de la fiscalización previa.</w:t>
      </w:r>
    </w:p>
    <w:p w:rsidR="00C61E2B" w:rsidRPr="00EA4376" w:rsidRDefault="00C61E2B" w:rsidP="00C61E2B">
      <w:pPr>
        <w:widowControl w:val="0"/>
        <w:spacing w:line="100" w:lineRule="atLeast"/>
        <w:ind w:left="567" w:right="567"/>
        <w:jc w:val="both"/>
        <w:rPr>
          <w:rFonts w:ascii="Tahoma" w:hAnsi="Tahoma" w:cs="Tahoma"/>
          <w:bCs/>
          <w:sz w:val="22"/>
          <w:szCs w:val="22"/>
        </w:rPr>
      </w:pPr>
      <w:r w:rsidRPr="00EF5CBC">
        <w:rPr>
          <w:rFonts w:ascii="Tahoma" w:hAnsi="Tahoma" w:cs="Tahoma"/>
          <w:b/>
          <w:bCs/>
          <w:sz w:val="22"/>
          <w:szCs w:val="22"/>
        </w:rPr>
        <w:t xml:space="preserve">Regla 5. </w:t>
      </w:r>
      <w:r w:rsidRPr="00EA4376">
        <w:rPr>
          <w:rFonts w:ascii="Tahoma" w:hAnsi="Tahoma" w:cs="Tahoma"/>
          <w:bCs/>
          <w:sz w:val="22"/>
          <w:szCs w:val="22"/>
        </w:rPr>
        <w:t xml:space="preserve">Régimen de fiscalización e intervención limitada previa de requisitos básicos. </w:t>
      </w:r>
    </w:p>
    <w:p w:rsidR="00EA4376" w:rsidRPr="00EA4376" w:rsidRDefault="00C61E2B" w:rsidP="00EA4376">
      <w:pPr>
        <w:widowControl w:val="0"/>
        <w:spacing w:line="100" w:lineRule="atLeast"/>
        <w:ind w:left="567" w:right="567"/>
        <w:jc w:val="both"/>
        <w:rPr>
          <w:rFonts w:ascii="Tahoma" w:hAnsi="Tahoma" w:cs="Tahoma"/>
          <w:bCs/>
          <w:color w:val="000000" w:themeColor="text1"/>
          <w:sz w:val="22"/>
          <w:szCs w:val="22"/>
        </w:rPr>
      </w:pPr>
      <w:r w:rsidRPr="00EF5CBC">
        <w:rPr>
          <w:rFonts w:ascii="Tahoma" w:hAnsi="Tahoma" w:cs="Tahoma"/>
          <w:b/>
          <w:bCs/>
          <w:color w:val="000000" w:themeColor="text1"/>
          <w:sz w:val="22"/>
          <w:szCs w:val="22"/>
        </w:rPr>
        <w:t xml:space="preserve">Regla 6. </w:t>
      </w:r>
      <w:r w:rsidRPr="00EA4376">
        <w:rPr>
          <w:rFonts w:ascii="Tahoma" w:hAnsi="Tahoma" w:cs="Tahoma"/>
          <w:bCs/>
          <w:color w:val="000000" w:themeColor="text1"/>
          <w:sz w:val="22"/>
          <w:szCs w:val="22"/>
        </w:rPr>
        <w:t>Fiscalización previa de las órdenes de pago a justificar y anticipos de caja fija. Especialidades en cuanto al régimen de los reparos.</w:t>
      </w:r>
    </w:p>
    <w:p w:rsidR="00EA4376" w:rsidRDefault="00C61E2B" w:rsidP="00EA4376">
      <w:pPr>
        <w:widowControl w:val="0"/>
        <w:spacing w:line="100" w:lineRule="atLeast"/>
        <w:ind w:left="567" w:right="567"/>
        <w:jc w:val="both"/>
        <w:rPr>
          <w:rFonts w:ascii="Tahoma" w:hAnsi="Tahoma" w:cs="Tahoma"/>
          <w:b/>
          <w:bCs/>
          <w:color w:val="000000" w:themeColor="text1"/>
          <w:sz w:val="22"/>
          <w:szCs w:val="22"/>
        </w:rPr>
      </w:pPr>
      <w:r w:rsidRPr="00EF5CBC">
        <w:rPr>
          <w:rFonts w:ascii="Tahoma" w:hAnsi="Tahoma" w:cs="Tahoma"/>
          <w:b/>
          <w:bCs/>
          <w:color w:val="000000" w:themeColor="text1"/>
          <w:sz w:val="22"/>
          <w:szCs w:val="22"/>
        </w:rPr>
        <w:t xml:space="preserve">Regla 7. </w:t>
      </w:r>
      <w:r w:rsidRPr="00EA4376">
        <w:rPr>
          <w:rFonts w:ascii="Tahoma" w:hAnsi="Tahoma" w:cs="Tahoma"/>
          <w:bCs/>
          <w:color w:val="000000" w:themeColor="text1"/>
          <w:sz w:val="22"/>
          <w:szCs w:val="22"/>
        </w:rPr>
        <w:t>Intervención de las cuentas justificativas de los pagos a justificar y anticipos de caja fija.</w:t>
      </w:r>
    </w:p>
    <w:p w:rsidR="00C61E2B" w:rsidRPr="00EF5CBC" w:rsidRDefault="00C61E2B" w:rsidP="00EA4376">
      <w:pPr>
        <w:widowControl w:val="0"/>
        <w:spacing w:line="100" w:lineRule="atLeast"/>
        <w:ind w:left="567" w:right="567"/>
        <w:jc w:val="both"/>
        <w:rPr>
          <w:rFonts w:ascii="Tahoma" w:hAnsi="Tahoma" w:cs="Tahoma"/>
          <w:b/>
          <w:color w:val="000000" w:themeColor="text1"/>
          <w:sz w:val="22"/>
          <w:szCs w:val="22"/>
        </w:rPr>
      </w:pPr>
      <w:r w:rsidRPr="00EF5CBC">
        <w:rPr>
          <w:rFonts w:ascii="Tahoma" w:hAnsi="Tahoma" w:cs="Tahoma"/>
          <w:b/>
          <w:color w:val="000000" w:themeColor="text1"/>
          <w:sz w:val="22"/>
          <w:szCs w:val="22"/>
        </w:rPr>
        <w:t>TÍTULO III. DEL CONTROL FINANCIERO.</w:t>
      </w:r>
    </w:p>
    <w:p w:rsidR="00C61E2B" w:rsidRPr="00EF5CBC" w:rsidRDefault="00C61E2B" w:rsidP="00C61E2B">
      <w:pPr>
        <w:widowControl w:val="0"/>
        <w:spacing w:line="100" w:lineRule="atLeast"/>
        <w:ind w:left="567" w:right="567"/>
        <w:jc w:val="both"/>
        <w:rPr>
          <w:rFonts w:ascii="Tahoma" w:hAnsi="Tahoma" w:cs="Tahoma"/>
          <w:b/>
          <w:bCs/>
          <w:color w:val="000000" w:themeColor="text1"/>
          <w:sz w:val="22"/>
          <w:szCs w:val="22"/>
        </w:rPr>
      </w:pPr>
      <w:r w:rsidRPr="00EF5CBC">
        <w:rPr>
          <w:rFonts w:ascii="Tahoma" w:hAnsi="Tahoma" w:cs="Tahoma"/>
          <w:b/>
          <w:bCs/>
          <w:color w:val="000000" w:themeColor="text1"/>
          <w:sz w:val="22"/>
          <w:szCs w:val="22"/>
        </w:rPr>
        <w:t xml:space="preserve">Regla 8. </w:t>
      </w:r>
      <w:r w:rsidRPr="00EA4376">
        <w:rPr>
          <w:rFonts w:ascii="Tahoma" w:hAnsi="Tahoma" w:cs="Tahoma"/>
          <w:bCs/>
          <w:color w:val="000000" w:themeColor="text1"/>
          <w:sz w:val="22"/>
          <w:szCs w:val="22"/>
        </w:rPr>
        <w:t>Control financiero de la actividad económico financiera, de las subvenciones y ayudas públicas.</w:t>
      </w:r>
      <w:r w:rsidRPr="00EF5CBC">
        <w:rPr>
          <w:rFonts w:ascii="Tahoma" w:hAnsi="Tahoma" w:cs="Tahoma"/>
          <w:b/>
          <w:bCs/>
          <w:color w:val="000000" w:themeColor="text1"/>
          <w:sz w:val="22"/>
          <w:szCs w:val="22"/>
        </w:rPr>
        <w:t xml:space="preserve"> </w:t>
      </w:r>
    </w:p>
    <w:p w:rsidR="00C61E2B" w:rsidRPr="00EF5CBC" w:rsidRDefault="00C61E2B" w:rsidP="00C61E2B">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ANEXO I. Extremos de comprobación adicional por tipos de expedientes.</w:t>
      </w:r>
    </w:p>
    <w:p w:rsidR="00C61E2B" w:rsidRPr="00EA4376" w:rsidRDefault="00C61E2B" w:rsidP="00C61E2B">
      <w:pPr>
        <w:widowControl w:val="0"/>
        <w:tabs>
          <w:tab w:val="left" w:pos="284"/>
          <w:tab w:val="left" w:pos="851"/>
        </w:tabs>
        <w:spacing w:line="100" w:lineRule="atLeast"/>
        <w:ind w:left="567" w:right="567"/>
        <w:jc w:val="both"/>
        <w:rPr>
          <w:rFonts w:ascii="Tahoma" w:hAnsi="Tahoma" w:cs="Tahoma"/>
          <w:bCs/>
          <w:sz w:val="22"/>
          <w:szCs w:val="22"/>
        </w:rPr>
      </w:pPr>
      <w:r w:rsidRPr="00EA4376">
        <w:rPr>
          <w:rFonts w:ascii="Tahoma" w:hAnsi="Tahoma" w:cs="Tahoma"/>
          <w:bCs/>
          <w:sz w:val="22"/>
          <w:szCs w:val="22"/>
        </w:rPr>
        <w:t>1.</w:t>
      </w:r>
      <w:r w:rsidRPr="00EA4376">
        <w:rPr>
          <w:rFonts w:ascii="Tahoma" w:hAnsi="Tahoma" w:cs="Tahoma"/>
          <w:bCs/>
          <w:sz w:val="22"/>
          <w:szCs w:val="22"/>
        </w:rPr>
        <w:tab/>
        <w:t>Gastos de personal.</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2. Contrato de obras.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3. Contratos de Suministros.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4. Contratos de Servicios.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5. Expedientes relativos a otros contratos de servicios.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 xml:space="preserve">6. Ejecución de trabajos por la propia Administración. Expedientes de ejecución de trabajos por la propia Administración: contratos de colaboración con empresarios particulares y encargos a medios propios personificados.  </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 xml:space="preserve">7. Contratos de concesión de obra.  </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 xml:space="preserve">8. Contratos de concesión de servicios. </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 xml:space="preserve">9. Contratos de gestión de servicios públicos. </w:t>
      </w:r>
    </w:p>
    <w:p w:rsidR="00C61E2B" w:rsidRPr="00EA4376" w:rsidRDefault="00C61E2B" w:rsidP="00C61E2B">
      <w:pPr>
        <w:widowControl w:val="0"/>
        <w:tabs>
          <w:tab w:val="left" w:pos="284"/>
        </w:tabs>
        <w:spacing w:line="100" w:lineRule="atLeast"/>
        <w:ind w:left="567" w:right="567"/>
        <w:jc w:val="both"/>
        <w:rPr>
          <w:rFonts w:ascii="Tahoma" w:hAnsi="Tahoma" w:cs="Tahoma"/>
          <w:bCs/>
          <w:color w:val="FF0000"/>
          <w:sz w:val="22"/>
          <w:szCs w:val="22"/>
        </w:rPr>
      </w:pPr>
      <w:r w:rsidRPr="00EA4376">
        <w:rPr>
          <w:rFonts w:ascii="Tahoma" w:hAnsi="Tahoma" w:cs="Tahoma"/>
          <w:bCs/>
          <w:color w:val="FF0000"/>
          <w:sz w:val="22"/>
          <w:szCs w:val="22"/>
        </w:rPr>
        <w:t>10. Contratos menores.</w:t>
      </w:r>
    </w:p>
    <w:p w:rsidR="00C61E2B" w:rsidRPr="00EA4376" w:rsidRDefault="00C61E2B" w:rsidP="00C61E2B">
      <w:pPr>
        <w:widowControl w:val="0"/>
        <w:tabs>
          <w:tab w:val="left" w:pos="284"/>
        </w:tabs>
        <w:spacing w:line="100" w:lineRule="atLeast"/>
        <w:ind w:left="567" w:right="567"/>
        <w:jc w:val="both"/>
        <w:rPr>
          <w:rFonts w:ascii="Tahoma" w:hAnsi="Tahoma" w:cs="Tahoma"/>
          <w:bCs/>
          <w:color w:val="FF0000"/>
          <w:sz w:val="22"/>
          <w:szCs w:val="22"/>
        </w:rPr>
      </w:pPr>
      <w:r w:rsidRPr="00EA4376">
        <w:rPr>
          <w:rFonts w:ascii="Tahoma" w:hAnsi="Tahoma" w:cs="Tahoma"/>
          <w:bCs/>
          <w:sz w:val="22"/>
          <w:szCs w:val="22"/>
        </w:rPr>
        <w:t xml:space="preserve">11. Contratos tramitados a través de acuerdos marcos y sistemas dinámicos de contratación. </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12. Subvenciones.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13. Convenios de colaboración.</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14. Responsabilidad Patrimonial.</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15. En los expedientes de gasto derivados de Expropiaciones forzosas.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16. Adquisiciones de bienes.</w:t>
      </w:r>
    </w:p>
    <w:p w:rsidR="00C61E2B" w:rsidRPr="00EA4376" w:rsidRDefault="00C61E2B" w:rsidP="00C61E2B">
      <w:pPr>
        <w:widowControl w:val="0"/>
        <w:tabs>
          <w:tab w:val="left" w:pos="284"/>
        </w:tabs>
        <w:spacing w:line="100" w:lineRule="atLeast"/>
        <w:ind w:left="567" w:right="567"/>
        <w:jc w:val="both"/>
        <w:rPr>
          <w:rFonts w:ascii="Tahoma" w:hAnsi="Tahoma" w:cs="Tahoma"/>
          <w:bCs/>
          <w:sz w:val="22"/>
          <w:szCs w:val="22"/>
        </w:rPr>
      </w:pPr>
      <w:r w:rsidRPr="00EA4376">
        <w:rPr>
          <w:rFonts w:ascii="Tahoma" w:hAnsi="Tahoma" w:cs="Tahoma"/>
          <w:bCs/>
          <w:sz w:val="22"/>
          <w:szCs w:val="22"/>
        </w:rPr>
        <w:t>17. Arrendamiento de bienes muebles.</w:t>
      </w:r>
    </w:p>
    <w:p w:rsidR="00C61E2B" w:rsidRPr="00EA4376" w:rsidRDefault="00C61E2B" w:rsidP="00C61E2B">
      <w:pPr>
        <w:widowControl w:val="0"/>
        <w:tabs>
          <w:tab w:val="left" w:pos="284"/>
          <w:tab w:val="left" w:pos="4447"/>
        </w:tabs>
        <w:spacing w:line="100" w:lineRule="atLeast"/>
        <w:ind w:left="567" w:right="567"/>
        <w:jc w:val="both"/>
        <w:rPr>
          <w:rFonts w:ascii="Tahoma" w:hAnsi="Tahoma" w:cs="Tahoma"/>
          <w:bCs/>
          <w:sz w:val="22"/>
          <w:szCs w:val="22"/>
        </w:rPr>
      </w:pPr>
      <w:r w:rsidRPr="00EA4376">
        <w:rPr>
          <w:rFonts w:ascii="Tahoma" w:hAnsi="Tahoma" w:cs="Tahoma"/>
          <w:bCs/>
          <w:sz w:val="22"/>
          <w:szCs w:val="22"/>
        </w:rPr>
        <w:t>18. Anticipos de caja fija y Pagos a Justificar.</w:t>
      </w:r>
      <w:r w:rsidRPr="00EA4376">
        <w:rPr>
          <w:rFonts w:ascii="Tahoma" w:hAnsi="Tahoma" w:cs="Tahoma"/>
          <w:bCs/>
          <w:sz w:val="22"/>
          <w:szCs w:val="22"/>
        </w:rPr>
        <w:tab/>
      </w:r>
    </w:p>
    <w:p w:rsidR="00C61E2B" w:rsidRPr="00EA4376" w:rsidRDefault="00C61E2B" w:rsidP="00C61E2B">
      <w:pPr>
        <w:widowControl w:val="0"/>
        <w:tabs>
          <w:tab w:val="left" w:pos="284"/>
          <w:tab w:val="left" w:pos="4447"/>
        </w:tabs>
        <w:spacing w:line="100" w:lineRule="atLeast"/>
        <w:ind w:left="567" w:right="567"/>
        <w:jc w:val="both"/>
        <w:rPr>
          <w:rFonts w:ascii="Tahoma" w:hAnsi="Tahoma" w:cs="Tahoma"/>
          <w:bCs/>
          <w:sz w:val="22"/>
          <w:szCs w:val="22"/>
        </w:rPr>
      </w:pPr>
      <w:r w:rsidRPr="00EA4376">
        <w:rPr>
          <w:rFonts w:ascii="Tahoma" w:hAnsi="Tahoma" w:cs="Tahoma"/>
          <w:bCs/>
          <w:sz w:val="22"/>
          <w:szCs w:val="22"/>
        </w:rPr>
        <w:t>19. Tramitación de emergencia.</w:t>
      </w:r>
    </w:p>
    <w:p w:rsidR="00C61E2B" w:rsidRPr="00EF5CBC" w:rsidRDefault="00C61E2B" w:rsidP="00EF5CBC">
      <w:pPr>
        <w:widowControl w:val="0"/>
        <w:autoSpaceDE w:val="0"/>
        <w:autoSpaceDN w:val="0"/>
        <w:adjustRightInd w:val="0"/>
        <w:spacing w:line="360" w:lineRule="auto"/>
        <w:ind w:left="567" w:right="567"/>
        <w:jc w:val="both"/>
        <w:rPr>
          <w:rFonts w:ascii="Tahoma" w:hAnsi="Tahoma" w:cs="Tahoma"/>
          <w:b/>
          <w:bCs/>
          <w:sz w:val="22"/>
          <w:szCs w:val="22"/>
        </w:rPr>
      </w:pPr>
    </w:p>
    <w:p w:rsidR="00EF5CBC" w:rsidRPr="00EF5CBC" w:rsidRDefault="00EF5CBC" w:rsidP="00EF5CBC">
      <w:pPr>
        <w:widowControl w:val="0"/>
        <w:autoSpaceDE w:val="0"/>
        <w:autoSpaceDN w:val="0"/>
        <w:adjustRightInd w:val="0"/>
        <w:spacing w:line="360" w:lineRule="auto"/>
        <w:ind w:left="567" w:right="567"/>
        <w:jc w:val="both"/>
        <w:rPr>
          <w:rFonts w:ascii="Tahoma" w:hAnsi="Tahoma" w:cs="Tahoma"/>
          <w:b/>
          <w:bCs/>
          <w:sz w:val="22"/>
          <w:szCs w:val="22"/>
        </w:rPr>
      </w:pPr>
      <w:r w:rsidRPr="00EF5CBC">
        <w:rPr>
          <w:rFonts w:ascii="Tahoma" w:hAnsi="Tahoma" w:cs="Tahoma"/>
          <w:b/>
          <w:bCs/>
          <w:sz w:val="22"/>
          <w:szCs w:val="22"/>
        </w:rPr>
        <w:t>Regla 1. Objeto y modalidades.</w:t>
      </w:r>
    </w:p>
    <w:p w:rsidR="00EF5CBC" w:rsidRPr="00EF5CBC" w:rsidRDefault="00EF5CBC" w:rsidP="00EF5CBC">
      <w:pPr>
        <w:autoSpaceDE w:val="0"/>
        <w:autoSpaceDN w:val="0"/>
        <w:adjustRightInd w:val="0"/>
        <w:ind w:left="567" w:right="567"/>
        <w:jc w:val="both"/>
        <w:rPr>
          <w:rFonts w:ascii="Tahoma" w:hAnsi="Tahoma" w:cs="Tahoma"/>
          <w:bCs/>
          <w:sz w:val="22"/>
          <w:szCs w:val="22"/>
        </w:rPr>
      </w:pPr>
      <w:r w:rsidRPr="00EF5CBC">
        <w:rPr>
          <w:rFonts w:ascii="Tahoma" w:hAnsi="Tahoma" w:cs="Tahoma"/>
          <w:bCs/>
          <w:sz w:val="22"/>
          <w:szCs w:val="22"/>
        </w:rPr>
        <w:t>1. Constituye el objeto de esta norma determinar las normas de realización del procedimiento de fiscalización limitada previa de todo gasto e ingreso del Ayuntamiento de _______________ y de sus entes dependientes, así como la regulación de la fiscalización plena posterior, en base a los preceptos sobre control y fiscalización contenidos en el capítulo IV correspondiente al título V del texto refundido de la Ley Reguladora de las Haciendas Locales y el Real Decreto 424/2017, de 28 de abril, por el que se regula el régimen jurídico del control interno en las entidades del Sector Público Local.</w:t>
      </w:r>
    </w:p>
    <w:p w:rsidR="00EF5CBC" w:rsidRPr="00EF5CBC" w:rsidRDefault="00EF5CBC" w:rsidP="00EF5CBC">
      <w:pPr>
        <w:autoSpaceDE w:val="0"/>
        <w:autoSpaceDN w:val="0"/>
        <w:adjustRightInd w:val="0"/>
        <w:ind w:left="567" w:right="567"/>
        <w:jc w:val="both"/>
        <w:rPr>
          <w:rFonts w:ascii="Tahoma" w:hAnsi="Tahoma" w:cs="Tahoma"/>
          <w:bCs/>
          <w:sz w:val="22"/>
          <w:szCs w:val="22"/>
        </w:rPr>
      </w:pPr>
    </w:p>
    <w:p w:rsidR="00EF5CBC" w:rsidRPr="00EF5CBC" w:rsidRDefault="00EF5CBC" w:rsidP="00EF5CBC">
      <w:pPr>
        <w:widowControl w:val="0"/>
        <w:autoSpaceDE w:val="0"/>
        <w:autoSpaceDN w:val="0"/>
        <w:adjustRightInd w:val="0"/>
        <w:ind w:left="567" w:right="567"/>
        <w:jc w:val="both"/>
        <w:rPr>
          <w:rFonts w:ascii="Tahoma" w:hAnsi="Tahoma" w:cs="Tahoma"/>
          <w:b/>
          <w:bCs/>
          <w:sz w:val="22"/>
          <w:szCs w:val="22"/>
        </w:rPr>
      </w:pPr>
    </w:p>
    <w:p w:rsidR="00EF5CBC" w:rsidRPr="00EF5CBC" w:rsidRDefault="00EF5CBC" w:rsidP="00EF5CBC">
      <w:pPr>
        <w:widowControl w:val="0"/>
        <w:spacing w:line="100" w:lineRule="atLeast"/>
        <w:ind w:left="567" w:right="567"/>
        <w:jc w:val="center"/>
        <w:rPr>
          <w:rFonts w:ascii="Tahoma" w:hAnsi="Tahoma" w:cs="Tahoma"/>
          <w:b/>
          <w:bCs/>
          <w:sz w:val="22"/>
          <w:szCs w:val="22"/>
        </w:rPr>
      </w:pPr>
      <w:r w:rsidRPr="00EF5CBC">
        <w:rPr>
          <w:rFonts w:ascii="Tahoma" w:hAnsi="Tahoma" w:cs="Tahoma"/>
          <w:b/>
          <w:bCs/>
          <w:sz w:val="22"/>
          <w:szCs w:val="22"/>
        </w:rPr>
        <w:t>TÍTULO I: FISCALIZACIÓN PREVIA LIMITADA DE INGRESOS.</w:t>
      </w:r>
    </w:p>
    <w:p w:rsidR="00EF5CBC" w:rsidRPr="00EF5CBC" w:rsidRDefault="00EF5CBC" w:rsidP="00EF5CBC">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Regla 2. Fiscalización previa.</w:t>
      </w:r>
    </w:p>
    <w:p w:rsidR="00EF5CBC" w:rsidRPr="00EF5CBC" w:rsidRDefault="00EF5CBC" w:rsidP="00EF5CBC">
      <w:pPr>
        <w:widowControl w:val="0"/>
        <w:spacing w:line="100" w:lineRule="atLeast"/>
        <w:ind w:left="567" w:right="567"/>
        <w:jc w:val="both"/>
        <w:rPr>
          <w:rFonts w:ascii="Tahoma" w:hAnsi="Tahoma" w:cs="Tahoma"/>
          <w:bCs/>
          <w:sz w:val="22"/>
          <w:szCs w:val="22"/>
        </w:rPr>
      </w:pPr>
      <w:r w:rsidRPr="00EF5CBC">
        <w:rPr>
          <w:rFonts w:ascii="Tahoma" w:hAnsi="Tahoma" w:cs="Tahoma"/>
          <w:bCs/>
          <w:sz w:val="22"/>
          <w:szCs w:val="22"/>
        </w:rPr>
        <w:t>1. La fiscalización previa de los derechos e ingresos de la Tesorería se sustituye por el control inherente a la toma de razón en contabilidad y el control posterior ejercido mediante el control financiero, tal y como autoriza el artículo 9 del Real Decreto 424/2017, de 28 de abril.</w:t>
      </w:r>
    </w:p>
    <w:p w:rsidR="00EF5CBC" w:rsidRPr="00EF5CBC" w:rsidRDefault="00EF5CBC" w:rsidP="00EF5CBC">
      <w:pPr>
        <w:widowControl w:val="0"/>
        <w:spacing w:line="100" w:lineRule="atLeast"/>
        <w:ind w:left="567" w:right="567"/>
        <w:jc w:val="both"/>
        <w:rPr>
          <w:rFonts w:ascii="Tahoma" w:hAnsi="Tahoma" w:cs="Tahoma"/>
          <w:bCs/>
          <w:sz w:val="22"/>
          <w:szCs w:val="22"/>
        </w:rPr>
      </w:pPr>
      <w:r w:rsidRPr="00EF5CBC">
        <w:rPr>
          <w:rFonts w:ascii="Tahoma" w:hAnsi="Tahoma" w:cs="Tahoma"/>
          <w:bCs/>
          <w:sz w:val="22"/>
          <w:szCs w:val="22"/>
        </w:rPr>
        <w:t>2. Esta fiscalización se ejercerá en dos momentos diferentes:</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a) La toma de razón en la contabilidad de la Entidad Local o de sus organismos autónomos, de los actos generadores de derechos e ingresos en la Tesorería.</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b) Mediante actuaciones de control financiero que deben realizarse con carácter posterior. El ejercicio del control posterior o financiero se llevará a cabo mediante técnicas de auditoría y muestreo.</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xml:space="preserve">4. La sustitución de la fiscalización previa de los derechos e ingresos de la Tesorería de la entidad local por el control inherente a la toma de razón en contabilidad y el control posterior </w:t>
      </w:r>
      <w:r w:rsidRPr="00EF5CBC">
        <w:rPr>
          <w:rFonts w:ascii="Tahoma" w:hAnsi="Tahoma" w:cs="Tahoma"/>
          <w:b/>
          <w:sz w:val="22"/>
          <w:szCs w:val="22"/>
        </w:rPr>
        <w:t>no alcanzará</w:t>
      </w:r>
      <w:r w:rsidRPr="00EF5CBC">
        <w:rPr>
          <w:rFonts w:ascii="Tahoma" w:hAnsi="Tahoma" w:cs="Tahoma"/>
          <w:sz w:val="22"/>
          <w:szCs w:val="22"/>
        </w:rPr>
        <w:t xml:space="preserve"> a la fiscalización de:</w:t>
      </w:r>
    </w:p>
    <w:p w:rsidR="00EF5CBC" w:rsidRPr="00EF5CBC" w:rsidRDefault="00EF5CBC" w:rsidP="00EF5CBC">
      <w:pPr>
        <w:pStyle w:val="Prrafodelista"/>
        <w:widowControl w:val="0"/>
        <w:numPr>
          <w:ilvl w:val="0"/>
          <w:numId w:val="4"/>
        </w:numPr>
        <w:spacing w:line="100" w:lineRule="atLeast"/>
        <w:ind w:left="567" w:right="567" w:firstLine="0"/>
        <w:jc w:val="both"/>
        <w:rPr>
          <w:rFonts w:ascii="Tahoma" w:hAnsi="Tahoma" w:cs="Tahoma"/>
        </w:rPr>
      </w:pPr>
      <w:r w:rsidRPr="00EF5CBC">
        <w:rPr>
          <w:rFonts w:ascii="Tahoma" w:hAnsi="Tahoma" w:cs="Tahoma"/>
        </w:rPr>
        <w:t>los actos de ordenación y pago material derivados de la devolución de ingresos indebidos.</w:t>
      </w:r>
    </w:p>
    <w:p w:rsidR="00EF5CBC" w:rsidRPr="00EF5CBC" w:rsidRDefault="00EF5CBC" w:rsidP="00EF5CBC">
      <w:pPr>
        <w:pStyle w:val="Prrafodelista"/>
        <w:widowControl w:val="0"/>
        <w:numPr>
          <w:ilvl w:val="0"/>
          <w:numId w:val="4"/>
        </w:numPr>
        <w:spacing w:line="100" w:lineRule="atLeast"/>
        <w:ind w:left="567" w:right="567" w:firstLine="0"/>
        <w:jc w:val="both"/>
        <w:rPr>
          <w:rFonts w:ascii="Tahoma" w:hAnsi="Tahoma" w:cs="Tahoma"/>
        </w:rPr>
      </w:pPr>
      <w:r w:rsidRPr="00EF5CBC">
        <w:rPr>
          <w:rFonts w:ascii="Tahoma" w:hAnsi="Tahoma" w:cs="Tahoma"/>
        </w:rPr>
        <w:t>Los actos de aprobación de de padrones, matrículas y listas cobratorias (no así los ingresos de contraído previo por recibo derivados de la gestión cobratoria de los mismos). Esta fiscalización en estos casos se realizará con ocasión de la aprobación del correspondiente expediente.</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Esta fiscalización en estos casos se realizará con ocasión de la aprobación del correspondiente expediente.</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5. En el caso de fiscalización previa de ingresos de capital de la Corporación se realizará</w:t>
      </w:r>
      <w:r w:rsidRPr="00EF5CBC">
        <w:rPr>
          <w:rFonts w:ascii="Tahoma" w:hAnsi="Tahoma" w:cs="Tahoma"/>
          <w:color w:val="E36C0A" w:themeColor="accent6" w:themeShade="BF"/>
          <w:sz w:val="22"/>
          <w:szCs w:val="22"/>
        </w:rPr>
        <w:t xml:space="preserve"> </w:t>
      </w:r>
      <w:r w:rsidRPr="00EF5CBC">
        <w:rPr>
          <w:rFonts w:ascii="Tahoma" w:hAnsi="Tahoma" w:cs="Tahoma"/>
          <w:sz w:val="22"/>
          <w:szCs w:val="22"/>
        </w:rPr>
        <w:t>mediante la comprobación de los siguientes extremos:</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a) En caso de enajenaciones patrimoniales, se comprobará, así mismo, la disponibilidad del recurso objeto de enajenación.</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b) En el supuesto de préstamos, se comprobara la obtención de las autorizaciones correspondientes, según el expediente.</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xml:space="preserve">6. En el supuesto de </w:t>
      </w:r>
      <w:r w:rsidRPr="00EF5CBC">
        <w:rPr>
          <w:rFonts w:ascii="Tahoma" w:hAnsi="Tahoma" w:cs="Tahoma"/>
          <w:b/>
          <w:sz w:val="22"/>
          <w:szCs w:val="22"/>
        </w:rPr>
        <w:t>devoluciones de ingresos</w:t>
      </w:r>
      <w:r w:rsidRPr="00EF5CBC">
        <w:rPr>
          <w:rFonts w:ascii="Tahoma" w:hAnsi="Tahoma" w:cs="Tahoma"/>
          <w:sz w:val="22"/>
          <w:szCs w:val="22"/>
        </w:rPr>
        <w:t xml:space="preserve"> indebidos la fiscalización previa se realizará mediante la comprobación de los siguientes extremos:</w:t>
      </w:r>
    </w:p>
    <w:p w:rsidR="00EF5CBC" w:rsidRPr="00EF5CBC" w:rsidRDefault="00EF5CBC" w:rsidP="00EF5CBC">
      <w:pPr>
        <w:pStyle w:val="Prrafodelista"/>
        <w:widowControl w:val="0"/>
        <w:numPr>
          <w:ilvl w:val="0"/>
          <w:numId w:val="3"/>
        </w:numPr>
        <w:tabs>
          <w:tab w:val="left" w:pos="851"/>
        </w:tabs>
        <w:spacing w:line="100" w:lineRule="atLeast"/>
        <w:ind w:left="567" w:right="567" w:firstLine="0"/>
        <w:jc w:val="both"/>
        <w:rPr>
          <w:rFonts w:ascii="Tahoma" w:hAnsi="Tahoma" w:cs="Tahoma"/>
        </w:rPr>
      </w:pPr>
      <w:r w:rsidRPr="00EF5CBC">
        <w:rPr>
          <w:rFonts w:ascii="Tahoma" w:hAnsi="Tahoma" w:cs="Tahoma"/>
        </w:rPr>
        <w:t>Que el acuerdo de devolución se va a dictar por el órgano competente y que la imputación presupuestaria es la correcta.</w:t>
      </w:r>
    </w:p>
    <w:p w:rsidR="00EF5CBC" w:rsidRPr="00EF5CBC" w:rsidRDefault="00EF5CBC" w:rsidP="00EF5CBC">
      <w:pPr>
        <w:pStyle w:val="Prrafodelista"/>
        <w:widowControl w:val="0"/>
        <w:numPr>
          <w:ilvl w:val="0"/>
          <w:numId w:val="3"/>
        </w:numPr>
        <w:tabs>
          <w:tab w:val="left" w:pos="851"/>
        </w:tabs>
        <w:spacing w:line="100" w:lineRule="atLeast"/>
        <w:ind w:left="567" w:right="567" w:firstLine="0"/>
        <w:jc w:val="both"/>
        <w:rPr>
          <w:rFonts w:ascii="Tahoma" w:hAnsi="Tahoma" w:cs="Tahoma"/>
        </w:rPr>
      </w:pPr>
      <w:r w:rsidRPr="00EF5CBC">
        <w:rPr>
          <w:rFonts w:ascii="Tahoma" w:hAnsi="Tahoma" w:cs="Tahoma"/>
        </w:rPr>
        <w:t>Que la ejecución de la devolución se ajusta al reconocimiento del derecho de la misma.</w:t>
      </w:r>
    </w:p>
    <w:p w:rsidR="00EF5CBC" w:rsidRPr="00EF5CBC" w:rsidRDefault="00EF5CBC" w:rsidP="00EF5CBC">
      <w:pPr>
        <w:pStyle w:val="Prrafodelista"/>
        <w:widowControl w:val="0"/>
        <w:numPr>
          <w:ilvl w:val="0"/>
          <w:numId w:val="3"/>
        </w:numPr>
        <w:tabs>
          <w:tab w:val="left" w:pos="851"/>
        </w:tabs>
        <w:spacing w:line="100" w:lineRule="atLeast"/>
        <w:ind w:left="567" w:right="567" w:firstLine="0"/>
        <w:jc w:val="both"/>
        <w:rPr>
          <w:rFonts w:ascii="Tahoma" w:hAnsi="Tahoma" w:cs="Tahoma"/>
        </w:rPr>
      </w:pPr>
      <w:r w:rsidRPr="00EF5CBC">
        <w:rPr>
          <w:rFonts w:ascii="Tahoma" w:hAnsi="Tahoma" w:cs="Tahoma"/>
        </w:rPr>
        <w:lastRenderedPageBreak/>
        <w:t>Que el ingreso efectivamente se realizó y no ha sido objeto de una devolución anterior.</w:t>
      </w:r>
    </w:p>
    <w:p w:rsidR="00EF5CBC" w:rsidRPr="00EF5CBC" w:rsidRDefault="00EF5CBC" w:rsidP="00EF5CBC">
      <w:pPr>
        <w:pStyle w:val="Prrafodelista"/>
        <w:widowControl w:val="0"/>
        <w:numPr>
          <w:ilvl w:val="0"/>
          <w:numId w:val="3"/>
        </w:numPr>
        <w:tabs>
          <w:tab w:val="left" w:pos="851"/>
        </w:tabs>
        <w:spacing w:line="100" w:lineRule="atLeast"/>
        <w:ind w:left="567" w:right="567" w:firstLine="0"/>
        <w:jc w:val="both"/>
        <w:rPr>
          <w:rFonts w:ascii="Tahoma" w:hAnsi="Tahoma" w:cs="Tahoma"/>
        </w:rPr>
      </w:pPr>
      <w:r w:rsidRPr="00EF5CBC">
        <w:rPr>
          <w:rFonts w:ascii="Tahoma" w:hAnsi="Tahoma" w:cs="Tahoma"/>
        </w:rPr>
        <w:t>Que el pago se realiza al perceptor legítimo y por la cantidad debida.</w:t>
      </w:r>
    </w:p>
    <w:p w:rsid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7. En el caso de que en el ejercicio de la función interventora el órgano interventor se manifestase en desacuerdo con el fondo o con la forma de los actos, documentos o expedientes examinados y la disconformidad se refiera al reconocimiento o liquidación de derechos a favor de las Entidades Locales o sus organismos autónomos, así como a la anulación de derechos, la oposición se formalizará en nota de reparo que en ningún caso suspenderá la tramitación del expediente.</w:t>
      </w:r>
    </w:p>
    <w:p w:rsidR="00C61E2B" w:rsidRPr="00EF5CBC" w:rsidRDefault="00C61E2B" w:rsidP="00EF5CBC">
      <w:pPr>
        <w:widowControl w:val="0"/>
        <w:spacing w:before="113" w:line="100" w:lineRule="atLeast"/>
        <w:ind w:left="567" w:right="567"/>
        <w:jc w:val="both"/>
        <w:rPr>
          <w:rFonts w:ascii="Tahoma" w:hAnsi="Tahoma" w:cs="Tahoma"/>
          <w:sz w:val="22"/>
          <w:szCs w:val="22"/>
        </w:rPr>
      </w:pPr>
    </w:p>
    <w:p w:rsidR="00EF5CBC" w:rsidRPr="00EF5CBC" w:rsidRDefault="00EF5CBC" w:rsidP="00EF5CBC">
      <w:pPr>
        <w:widowControl w:val="0"/>
        <w:autoSpaceDE w:val="0"/>
        <w:autoSpaceDN w:val="0"/>
        <w:adjustRightInd w:val="0"/>
        <w:ind w:left="567" w:right="567"/>
        <w:jc w:val="both"/>
        <w:rPr>
          <w:rFonts w:ascii="Tahoma" w:hAnsi="Tahoma" w:cs="Tahoma"/>
          <w:b/>
          <w:bCs/>
          <w:sz w:val="22"/>
          <w:szCs w:val="22"/>
        </w:rPr>
      </w:pPr>
      <w:r w:rsidRPr="00EF5CBC">
        <w:rPr>
          <w:rFonts w:ascii="Tahoma" w:hAnsi="Tahoma" w:cs="Tahoma"/>
          <w:b/>
          <w:bCs/>
          <w:sz w:val="22"/>
          <w:szCs w:val="22"/>
        </w:rPr>
        <w:t>Regla 3. Comprobaciones posteriores.</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xml:space="preserve">1. Las </w:t>
      </w:r>
      <w:r w:rsidRPr="00EF5CBC">
        <w:rPr>
          <w:rFonts w:ascii="Tahoma" w:hAnsi="Tahoma" w:cs="Tahoma"/>
          <w:b/>
          <w:sz w:val="22"/>
          <w:szCs w:val="22"/>
        </w:rPr>
        <w:t>actuaciones comprobatorias posteriores</w:t>
      </w:r>
      <w:r w:rsidRPr="00EF5CBC">
        <w:rPr>
          <w:rFonts w:ascii="Tahoma" w:hAnsi="Tahoma" w:cs="Tahoma"/>
          <w:sz w:val="22"/>
          <w:szCs w:val="22"/>
        </w:rPr>
        <w:t xml:space="preserve"> tienen por finalidad asegurar que la gestión económico-financiera de los derechos e ingresos públicos se ajusta a las disposiciones aplicables en cada caso. Las actuaciones a llevar a cabo deberán verificar en cualquier caso:</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El cumplimiento de la legalidad tanto en los procedimientos de gestión que hayan dado lugar al reconocimiento, liquidación, modificación o extinción de derechos, como en la realización de cualquier ingreso público.</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Que el derecho económico es reconocido y liquidado por el órgano competente y de acuerdo con las normas en cada caso aplicables.</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Que el importe es el correcto, teniendo en cuenta las posibles causas de la modificación del mismo, como los aplazamientos y fraccionamientos de las deudas liquidadas o los hechos que puedan dar lugar a la extinción del derecho.</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Que los ingresos se han realizado en las cajas o cuentas corrientes de las entidades de depósito debidamente autorizadas, dentro de los plazos legalmente establecidos y por la cuantía debida.</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Que el pagador es el correcto, examinando, en su caso, los supuestos de derivación de responsabilidad.</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Que todos los derechos y/o operaciones susceptibles de ser contabilizadas lo estén en el concepto adecuado y por el importe correcto.</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Además de los extremos detallados en el párrafo anterior, para los siguientes casos deberá verificarse igualmente:</w:t>
      </w:r>
    </w:p>
    <w:p w:rsidR="00EF5CBC" w:rsidRPr="00EF5CBC" w:rsidRDefault="00EF5CBC" w:rsidP="00EF5CBC">
      <w:pPr>
        <w:pStyle w:val="Prrafodelista"/>
        <w:widowControl w:val="0"/>
        <w:numPr>
          <w:ilvl w:val="0"/>
          <w:numId w:val="20"/>
        </w:numPr>
        <w:tabs>
          <w:tab w:val="left" w:pos="851"/>
        </w:tabs>
        <w:spacing w:before="113" w:line="100" w:lineRule="atLeast"/>
        <w:ind w:left="567" w:right="567" w:firstLine="0"/>
        <w:jc w:val="both"/>
        <w:rPr>
          <w:rFonts w:ascii="Tahoma" w:hAnsi="Tahoma" w:cs="Tahoma"/>
        </w:rPr>
      </w:pPr>
      <w:r w:rsidRPr="00EF5CBC">
        <w:rPr>
          <w:rFonts w:ascii="Tahoma" w:hAnsi="Tahoma" w:cs="Tahoma"/>
        </w:rPr>
        <w:t>Reintegro de Pagos Indebidos, deberá verificarse que los motivos y su procedencia son correctos, detallando operación, motivo, importe y la unidad o área gestora.</w:t>
      </w:r>
    </w:p>
    <w:p w:rsidR="00EF5CBC" w:rsidRPr="00EF5CBC" w:rsidRDefault="00EF5CBC" w:rsidP="00EF5CBC">
      <w:pPr>
        <w:pStyle w:val="Prrafodelista"/>
        <w:widowControl w:val="0"/>
        <w:numPr>
          <w:ilvl w:val="0"/>
          <w:numId w:val="20"/>
        </w:numPr>
        <w:tabs>
          <w:tab w:val="left" w:pos="851"/>
        </w:tabs>
        <w:spacing w:before="113" w:line="100" w:lineRule="atLeast"/>
        <w:ind w:left="567" w:right="567" w:firstLine="0"/>
        <w:jc w:val="both"/>
        <w:rPr>
          <w:rFonts w:ascii="Tahoma" w:hAnsi="Tahoma" w:cs="Tahoma"/>
        </w:rPr>
      </w:pPr>
      <w:r w:rsidRPr="00EF5CBC">
        <w:rPr>
          <w:rFonts w:ascii="Tahoma" w:hAnsi="Tahoma" w:cs="Tahoma"/>
        </w:rPr>
        <w:t>Tasas o Precios Públicos por prestación de servicios o realización de una actividad, deberá verificarse que la prestación del servicio o realización de actividad está efectivamente autorizada por el órgano competente, que las liquidaciones y/o autoliquidaciones se corresponden con los sujetos pasivos que han realizado de forma efectiva el hecho imponible.</w:t>
      </w:r>
    </w:p>
    <w:p w:rsidR="00EF5CBC" w:rsidRPr="00EF5CBC" w:rsidRDefault="00EF5CBC" w:rsidP="00EF5CBC">
      <w:pPr>
        <w:pStyle w:val="Prrafodelista"/>
        <w:widowControl w:val="0"/>
        <w:numPr>
          <w:ilvl w:val="0"/>
          <w:numId w:val="20"/>
        </w:numPr>
        <w:tabs>
          <w:tab w:val="left" w:pos="851"/>
        </w:tabs>
        <w:spacing w:before="113" w:line="100" w:lineRule="atLeast"/>
        <w:ind w:left="567" w:right="567" w:firstLine="0"/>
        <w:jc w:val="both"/>
        <w:rPr>
          <w:rFonts w:ascii="Tahoma" w:hAnsi="Tahoma" w:cs="Tahoma"/>
        </w:rPr>
      </w:pPr>
      <w:r w:rsidRPr="00EF5CBC">
        <w:rPr>
          <w:rFonts w:ascii="Tahoma" w:hAnsi="Tahoma" w:cs="Tahoma"/>
        </w:rPr>
        <w:t>Tasas por utilización privativa o aprovechamiento especial del dominio público, deberá verificarse, que la utilización u aprovechamiento están efectivamente autorizadas por el órgano competente, que las liquidaciones y/o autoliquidaciones se corresponden con los sujetos pasivos que han realizado de forma efectiva el hecho imponible.</w:t>
      </w:r>
    </w:p>
    <w:p w:rsidR="00EF5CBC" w:rsidRPr="00EF5CBC" w:rsidRDefault="00EF5CBC" w:rsidP="00EF5CBC">
      <w:pPr>
        <w:pStyle w:val="Prrafodelista"/>
        <w:widowControl w:val="0"/>
        <w:numPr>
          <w:ilvl w:val="0"/>
          <w:numId w:val="20"/>
        </w:numPr>
        <w:tabs>
          <w:tab w:val="left" w:pos="851"/>
        </w:tabs>
        <w:spacing w:before="113" w:line="100" w:lineRule="atLeast"/>
        <w:ind w:left="567" w:right="567" w:firstLine="0"/>
        <w:jc w:val="both"/>
        <w:rPr>
          <w:rFonts w:ascii="Tahoma" w:hAnsi="Tahoma" w:cs="Tahoma"/>
        </w:rPr>
      </w:pPr>
      <w:r w:rsidRPr="00EF5CBC">
        <w:rPr>
          <w:rFonts w:ascii="Tahoma" w:hAnsi="Tahoma" w:cs="Tahoma"/>
        </w:rPr>
        <w:lastRenderedPageBreak/>
        <w:t>Fianza, deberá verificarse, que se distingan en los diferentes conceptos de fianzas, tanto el tercero como el importe entregado por los mismos como garantía, que las que se constituyen como garantías definitivas se depositen con anterioridad a la firma del contrato y que las garantías provisionales se devuelvan simultánea o posteriormente al depósito de las definitivas o se devuelven en caso de no adjudicación.</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xml:space="preserve">2. Dicha verificación se realizará sobre una muestra representativa de los actos, documentos o expedientes de contenido económico, origen del reconocimiento o liquidación de derechos. </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Como norma general, se determinarán los expedientes que se han de examinar mediante la aplicación de los procedimientos de muestreo o métodos de selección de muestras, de acuerdo con Norma Internacional de Auditoría 530, Muestreo de Auditoría, NIA-ES 530 (adaptada para su aplicación en España mediante Resolución del Instituto de Contabilidad y Auditoría de Cuentas, de 15 de octubre de 2013).</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3. De las comprobaciones efectuadas con posterioridad el órgano interventor deberá emitir informe escrito en el que hará constar cuantas observaciones y conclusiones se deduzcan de las mismas.</w:t>
      </w:r>
    </w:p>
    <w:p w:rsidR="00EF5CBC" w:rsidRPr="00EF5CBC" w:rsidRDefault="00EF5CBC" w:rsidP="00EF5CBC">
      <w:pPr>
        <w:widowControl w:val="0"/>
        <w:spacing w:before="113" w:line="100" w:lineRule="atLeast"/>
        <w:ind w:left="567" w:right="567"/>
        <w:jc w:val="both"/>
        <w:rPr>
          <w:rFonts w:ascii="Tahoma" w:hAnsi="Tahoma" w:cs="Tahoma"/>
          <w:sz w:val="22"/>
          <w:szCs w:val="22"/>
        </w:rPr>
      </w:pPr>
    </w:p>
    <w:p w:rsidR="00EF5CBC" w:rsidRDefault="00EF5CBC" w:rsidP="00EF5CBC">
      <w:pPr>
        <w:widowControl w:val="0"/>
        <w:spacing w:line="100" w:lineRule="atLeast"/>
        <w:ind w:left="567" w:right="567"/>
        <w:jc w:val="center"/>
        <w:rPr>
          <w:rFonts w:ascii="Tahoma" w:hAnsi="Tahoma" w:cs="Tahoma"/>
          <w:b/>
          <w:bCs/>
          <w:sz w:val="22"/>
          <w:szCs w:val="22"/>
        </w:rPr>
      </w:pPr>
      <w:r w:rsidRPr="00EF5CBC">
        <w:rPr>
          <w:rFonts w:ascii="Tahoma" w:hAnsi="Tahoma" w:cs="Tahoma"/>
          <w:b/>
          <w:bCs/>
          <w:sz w:val="22"/>
          <w:szCs w:val="22"/>
        </w:rPr>
        <w:t>TÍTULO II: FISCALIZACIÓN PREVIA LIMITADA DE GASTOS.</w:t>
      </w:r>
    </w:p>
    <w:p w:rsidR="00C61E2B" w:rsidRPr="00EF5CBC" w:rsidRDefault="00C61E2B" w:rsidP="00EF5CBC">
      <w:pPr>
        <w:widowControl w:val="0"/>
        <w:spacing w:line="100" w:lineRule="atLeast"/>
        <w:ind w:left="567" w:right="567"/>
        <w:jc w:val="center"/>
        <w:rPr>
          <w:rFonts w:ascii="Tahoma" w:hAnsi="Tahoma" w:cs="Tahoma"/>
          <w:b/>
          <w:bCs/>
          <w:sz w:val="22"/>
          <w:szCs w:val="22"/>
        </w:rPr>
      </w:pPr>
    </w:p>
    <w:p w:rsidR="00EF5CBC" w:rsidRPr="00EF5CBC" w:rsidRDefault="00EF5CBC" w:rsidP="00EF5CBC">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Regla 4. Régimen general y exención de la fiscalización previa.</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1. Sin perjuicio del régimen de fiscalización limitada previa regulado en las reglas siguientes, están sometidos a fiscalización previa los demás actos de la Entidad Local, cualquiera que sea su calificación, por los que se apruebe la realización de un gasto, no incluidos en la relación del Anexo I.</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2. La fiscalización previa sobre todo tipo de acto que apruebe la realización de un gasto, comprenderá consecuentemente las dos primeras fases de gestión del gasto, la autorización (Fase “A”), la disposición o compromiso (Fase “D”) del gasto.</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Entre los actos sometidos a fiscalización previa se consideran incluidos:</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Los actos resolutorios de recursos administrativos que tengan contenido económico.</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Los convenios que se suscriban y cualesquiera otros actos de naturaleza análoga, siempre que tengan contenido económico.</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Los gastos de cuantía indeterminada.</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3. En el ejercicio de la fiscalización previa se comprobará el cumplimiento de los trámites y requisitos establecidos por el ordenamiento jurídico mediante el examen de los documentos e informes que integran el expediente, y en cualquier caso, la existencia y adecuación del crédito, que las obligaciones o gastos se generan por órgano competente, que el contenido y la tramitación del mismo se ajustan a las disposiciones aplicables al caso, y que la selección del adjudicatario para la entrega o prestación de servicio o suministro prestado que corresponda se ajustan a la normativa vigente y las disposiciones aplicables al caso, que el expediente está completo y en disposición de que una vez emitido el informe de fiscalización se pueda dictar el acuerdo o resolución procedente y que el gasto fue debidamente autorizado y su importe no se ha excedido.</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xml:space="preserve">4. </w:t>
      </w:r>
      <w:r w:rsidRPr="00EF5CBC">
        <w:rPr>
          <w:rFonts w:ascii="Tahoma" w:hAnsi="Tahoma" w:cs="Tahoma"/>
          <w:b/>
          <w:sz w:val="22"/>
          <w:szCs w:val="22"/>
        </w:rPr>
        <w:t>No estarán sometidos a la fiscalización previa</w:t>
      </w:r>
      <w:r w:rsidRPr="00EF5CBC">
        <w:rPr>
          <w:rFonts w:ascii="Tahoma" w:hAnsi="Tahoma" w:cs="Tahoma"/>
          <w:sz w:val="22"/>
          <w:szCs w:val="22"/>
        </w:rPr>
        <w:t>:</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a) Los gastos de material no inventariable.</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lastRenderedPageBreak/>
        <w:t>b) Los contratos menores.</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c) Los gastos de carácter periódico y demás de tracto sucesivo, una vez fiscalizado el gasto correspondiente al período inicial del acto o contrato del que deriven o sus modificaciones.</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 xml:space="preserve">d) Los gastos menores de 3.005,06 euros que, de acuerdo con la normativa vigente, se hagan efectivos a través del sistema de anticipos de caja fija. </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e) Los contratos de acceso a bases de datos y de suscripción a publicaciones que no tengan el carácter de contratos sujetos a regulación armonizada.</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5. Están sometidas a intervención previa las liquidaciones de gastos o reconocimiento de obligaciones, ya tengan su origen en la ley o en negocios jurídicos válidamente celebrados.</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Esta intervención se practicará por el órgano interventor con carácter previo al acuerdo de liquidación del gasto o reconocimiento de la obligación y constituirá la fase “O”.</w:t>
      </w:r>
    </w:p>
    <w:p w:rsidR="00EF5CBC" w:rsidRPr="00EF5CBC" w:rsidRDefault="00EF5CBC" w:rsidP="00EF5CBC">
      <w:pPr>
        <w:widowControl w:val="0"/>
        <w:spacing w:line="100" w:lineRule="atLeast"/>
        <w:ind w:left="567" w:right="567"/>
        <w:jc w:val="both"/>
        <w:rPr>
          <w:rFonts w:ascii="Tahoma" w:hAnsi="Tahoma" w:cs="Tahoma"/>
          <w:sz w:val="22"/>
          <w:szCs w:val="22"/>
        </w:rPr>
      </w:pPr>
      <w:r w:rsidRPr="00EF5CBC">
        <w:rPr>
          <w:rFonts w:ascii="Tahoma" w:hAnsi="Tahoma" w:cs="Tahoma"/>
          <w:sz w:val="22"/>
          <w:szCs w:val="22"/>
        </w:rPr>
        <w:t>En este momento deberá quedar documentalmente acreditado que se cumplen todos los requisitos necesarios para el reconocimiento de la obligación, entre los que se encontrará, en su caso:</w:t>
      </w:r>
    </w:p>
    <w:p w:rsidR="00EF5CBC" w:rsidRPr="00EF5CBC" w:rsidRDefault="00EF5CBC" w:rsidP="00EF5CBC">
      <w:pPr>
        <w:pStyle w:val="Prrafodelista"/>
        <w:widowControl w:val="0"/>
        <w:numPr>
          <w:ilvl w:val="0"/>
          <w:numId w:val="21"/>
        </w:numPr>
        <w:spacing w:line="100" w:lineRule="atLeast"/>
        <w:ind w:left="567" w:right="567" w:firstLine="0"/>
        <w:jc w:val="both"/>
        <w:rPr>
          <w:rFonts w:ascii="Tahoma" w:hAnsi="Tahoma" w:cs="Tahoma"/>
        </w:rPr>
      </w:pPr>
      <w:r w:rsidRPr="00EF5CBC">
        <w:rPr>
          <w:rFonts w:ascii="Tahoma" w:hAnsi="Tahoma" w:cs="Tahoma"/>
        </w:rPr>
        <w:t xml:space="preserve">La acreditación de la realización de la prestación o el derecho del acreedor de conformidad con los acuerdos que autorizaron y comprometieron el gasto, y </w:t>
      </w:r>
    </w:p>
    <w:p w:rsidR="00EF5CBC" w:rsidRPr="00EF5CBC" w:rsidRDefault="00EF5CBC" w:rsidP="00EF5CBC">
      <w:pPr>
        <w:pStyle w:val="Prrafodelista"/>
        <w:widowControl w:val="0"/>
        <w:numPr>
          <w:ilvl w:val="0"/>
          <w:numId w:val="21"/>
        </w:numPr>
        <w:spacing w:line="100" w:lineRule="atLeast"/>
        <w:ind w:left="567" w:right="567" w:firstLine="0"/>
        <w:jc w:val="both"/>
        <w:rPr>
          <w:rFonts w:ascii="Tahoma" w:hAnsi="Tahoma" w:cs="Tahoma"/>
        </w:rPr>
      </w:pPr>
      <w:r w:rsidRPr="00EF5CBC">
        <w:rPr>
          <w:rFonts w:ascii="Tahoma" w:hAnsi="Tahoma" w:cs="Tahoma"/>
        </w:rPr>
        <w:t>El resultado favorable de la comprobación material de la inversión.</w:t>
      </w:r>
    </w:p>
    <w:p w:rsidR="00EF5CBC" w:rsidRPr="00EF5CBC" w:rsidRDefault="00EF5CBC" w:rsidP="00EF5CBC">
      <w:pPr>
        <w:pStyle w:val="Prrafodelista"/>
        <w:widowControl w:val="0"/>
        <w:spacing w:line="100" w:lineRule="atLeast"/>
        <w:ind w:left="567" w:right="567"/>
        <w:jc w:val="both"/>
        <w:rPr>
          <w:rFonts w:ascii="Tahoma" w:hAnsi="Tahoma" w:cs="Tahoma"/>
        </w:rPr>
      </w:pPr>
    </w:p>
    <w:p w:rsidR="00EF5CBC" w:rsidRPr="00EF5CBC" w:rsidRDefault="00EF5CBC" w:rsidP="00EF5CBC">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Regla 5. Régimen de fiscalización e intervención limitada previa de requisitos básicos. </w:t>
      </w:r>
    </w:p>
    <w:p w:rsidR="00EF5CBC" w:rsidRPr="00EF5CBC" w:rsidRDefault="00EF5CBC" w:rsidP="00EF5CBC">
      <w:pPr>
        <w:pStyle w:val="Prrafodelista"/>
        <w:widowControl w:val="0"/>
        <w:numPr>
          <w:ilvl w:val="0"/>
          <w:numId w:val="10"/>
        </w:numPr>
        <w:tabs>
          <w:tab w:val="left" w:pos="284"/>
          <w:tab w:val="left" w:pos="426"/>
          <w:tab w:val="left" w:pos="709"/>
          <w:tab w:val="left" w:pos="851"/>
        </w:tabs>
        <w:autoSpaceDE w:val="0"/>
        <w:autoSpaceDN w:val="0"/>
        <w:adjustRightInd w:val="0"/>
        <w:spacing w:after="0" w:line="240" w:lineRule="auto"/>
        <w:ind w:left="567" w:right="567" w:firstLine="0"/>
        <w:jc w:val="both"/>
        <w:rPr>
          <w:rFonts w:ascii="Tahoma" w:hAnsi="Tahoma" w:cs="Tahoma"/>
          <w:bCs/>
        </w:rPr>
      </w:pPr>
      <w:r w:rsidRPr="00EF5CBC">
        <w:rPr>
          <w:rFonts w:ascii="Tahoma" w:hAnsi="Tahoma" w:cs="Tahoma"/>
          <w:bCs/>
        </w:rPr>
        <w:t xml:space="preserve">De conformidad con lo establecido en el artículo 13 del </w:t>
      </w:r>
      <w:r w:rsidRPr="00EF5CBC">
        <w:rPr>
          <w:rFonts w:ascii="Tahoma" w:hAnsi="Tahoma" w:cs="Tahoma"/>
        </w:rPr>
        <w:t>Real Decreto 424/2017, de 28 de abril, por el que se regula el régimen jurídico del control interno en las entidades del Sector Público Local, se establece el régimen de fiscalización e intervención limitada previa de requisitos básicos de los actos de la Entidad Local, en adaptación del Acuerdo del Consejo de Ministros por los que se aprueba la realización de las áreas de gasto.</w:t>
      </w:r>
    </w:p>
    <w:p w:rsidR="00EF5CBC" w:rsidRPr="00EF5CBC" w:rsidRDefault="00EF5CBC" w:rsidP="00EF5CBC">
      <w:pPr>
        <w:pStyle w:val="Prrafodelista"/>
        <w:widowControl w:val="0"/>
        <w:tabs>
          <w:tab w:val="left" w:pos="284"/>
          <w:tab w:val="left" w:pos="426"/>
          <w:tab w:val="left" w:pos="709"/>
          <w:tab w:val="left" w:pos="851"/>
        </w:tabs>
        <w:autoSpaceDE w:val="0"/>
        <w:autoSpaceDN w:val="0"/>
        <w:adjustRightInd w:val="0"/>
        <w:spacing w:after="0" w:line="240" w:lineRule="auto"/>
        <w:ind w:left="567" w:right="567"/>
        <w:jc w:val="both"/>
        <w:rPr>
          <w:rFonts w:ascii="Tahoma" w:hAnsi="Tahoma" w:cs="Tahoma"/>
          <w:bCs/>
        </w:rPr>
      </w:pPr>
    </w:p>
    <w:p w:rsidR="00EF5CBC" w:rsidRPr="00EF5CBC" w:rsidRDefault="00EF5CBC" w:rsidP="00EF5CBC">
      <w:pPr>
        <w:pStyle w:val="Prrafodelista"/>
        <w:widowControl w:val="0"/>
        <w:numPr>
          <w:ilvl w:val="0"/>
          <w:numId w:val="10"/>
        </w:numPr>
        <w:tabs>
          <w:tab w:val="left" w:pos="142"/>
          <w:tab w:val="left" w:pos="284"/>
          <w:tab w:val="left" w:pos="709"/>
          <w:tab w:val="left" w:pos="851"/>
        </w:tabs>
        <w:autoSpaceDE w:val="0"/>
        <w:autoSpaceDN w:val="0"/>
        <w:adjustRightInd w:val="0"/>
        <w:spacing w:before="200" w:after="0" w:line="100" w:lineRule="atLeast"/>
        <w:ind w:left="567" w:right="567" w:firstLine="0"/>
        <w:jc w:val="both"/>
        <w:rPr>
          <w:rFonts w:ascii="Tahoma" w:hAnsi="Tahoma" w:cs="Tahoma"/>
          <w:color w:val="0070C0"/>
        </w:rPr>
      </w:pPr>
      <w:r w:rsidRPr="00EF5CBC">
        <w:rPr>
          <w:rFonts w:ascii="Tahoma" w:hAnsi="Tahoma" w:cs="Tahoma"/>
          <w:color w:val="0070C0"/>
        </w:rPr>
        <w:t xml:space="preserve">El régimen de fiscalización e intervención previa limitada se ejercerá sobre los siguientes tipos de gastos: Gastos de personal, Contratos de obras, Contratos de suministros, Contratos de servicios, Contratos de concesión de obra, Contratos de concesión de servicios, Contratos de gestión de servicios públicos, Contratos privados, Contratos de creación e interpretación artística y literaria y contratos privados de espectáculos, Contratos tramitados en el marco de un sistema de racionalización técnica de la contratación, Encomiendas de gestión de la Ley 40/15, </w:t>
      </w:r>
      <w:r w:rsidRPr="00EF5CBC">
        <w:rPr>
          <w:rFonts w:ascii="Tahoma" w:hAnsi="Tahoma" w:cs="Tahoma"/>
          <w:strike/>
          <w:color w:val="0070C0"/>
        </w:rPr>
        <w:t>Contratos menores</w:t>
      </w:r>
      <w:r w:rsidRPr="00EF5CBC">
        <w:rPr>
          <w:rFonts w:ascii="Tahoma" w:hAnsi="Tahoma" w:cs="Tahoma"/>
          <w:color w:val="0070C0"/>
        </w:rPr>
        <w:t>, Responsabilidad patrimonial, Negocios patrimoniales, Gastos derivados de expropiaciones, Subvenciones, Convenios de colaboración, Expedientes urbanísticos, De gastos financieros, Anticipos de caja fija, Pago a justificar, Otros contratos y gastos no relacionados anteriormente.</w:t>
      </w:r>
    </w:p>
    <w:p w:rsidR="00EF5CBC" w:rsidRPr="00EF5CBC" w:rsidRDefault="00EF5CBC" w:rsidP="00EF5CBC">
      <w:pPr>
        <w:widowControl w:val="0"/>
        <w:tabs>
          <w:tab w:val="left" w:pos="284"/>
          <w:tab w:val="left" w:pos="426"/>
          <w:tab w:val="left" w:pos="709"/>
          <w:tab w:val="left" w:pos="851"/>
        </w:tabs>
        <w:autoSpaceDE w:val="0"/>
        <w:autoSpaceDN w:val="0"/>
        <w:adjustRightInd w:val="0"/>
        <w:ind w:left="567" w:right="567"/>
        <w:jc w:val="both"/>
        <w:rPr>
          <w:rFonts w:ascii="Tahoma" w:hAnsi="Tahoma" w:cs="Tahoma"/>
          <w:bCs/>
          <w:sz w:val="22"/>
          <w:szCs w:val="22"/>
        </w:rPr>
      </w:pPr>
    </w:p>
    <w:p w:rsidR="00EF5CBC" w:rsidRPr="00EF5CBC" w:rsidRDefault="00EF5CBC" w:rsidP="00EF5CBC">
      <w:pPr>
        <w:pStyle w:val="Prrafodelista"/>
        <w:widowControl w:val="0"/>
        <w:numPr>
          <w:ilvl w:val="0"/>
          <w:numId w:val="10"/>
        </w:numPr>
        <w:tabs>
          <w:tab w:val="left" w:pos="284"/>
          <w:tab w:val="left" w:pos="426"/>
          <w:tab w:val="left" w:pos="709"/>
          <w:tab w:val="left" w:pos="851"/>
        </w:tabs>
        <w:autoSpaceDE w:val="0"/>
        <w:autoSpaceDN w:val="0"/>
        <w:adjustRightInd w:val="0"/>
        <w:spacing w:after="0" w:line="100" w:lineRule="atLeast"/>
        <w:ind w:left="567" w:right="567" w:firstLine="0"/>
        <w:jc w:val="both"/>
        <w:rPr>
          <w:rFonts w:ascii="Tahoma" w:hAnsi="Tahoma" w:cs="Tahoma"/>
          <w:bCs/>
        </w:rPr>
      </w:pPr>
      <w:r w:rsidRPr="00EF5CBC">
        <w:rPr>
          <w:rFonts w:ascii="Tahoma" w:hAnsi="Tahoma" w:cs="Tahoma"/>
          <w:bCs/>
        </w:rPr>
        <w:t>La fiscalización e intervención previa limitada se limitará a comprobar los siguientes extremos:</w:t>
      </w:r>
    </w:p>
    <w:p w:rsidR="00EF5CBC" w:rsidRPr="00EF5CBC" w:rsidRDefault="00EF5CBC" w:rsidP="00EF5CBC">
      <w:pPr>
        <w:pStyle w:val="Prrafodelista"/>
        <w:widowControl w:val="0"/>
        <w:tabs>
          <w:tab w:val="left" w:pos="284"/>
          <w:tab w:val="left" w:pos="426"/>
          <w:tab w:val="left" w:pos="709"/>
          <w:tab w:val="left" w:pos="851"/>
        </w:tabs>
        <w:autoSpaceDE w:val="0"/>
        <w:autoSpaceDN w:val="0"/>
        <w:adjustRightInd w:val="0"/>
        <w:spacing w:after="0" w:line="100" w:lineRule="atLeast"/>
        <w:ind w:left="567" w:right="567"/>
        <w:jc w:val="both"/>
        <w:rPr>
          <w:rFonts w:ascii="Tahoma" w:hAnsi="Tahoma" w:cs="Tahoma"/>
          <w:bCs/>
        </w:rPr>
      </w:pP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La existencia de crédito presupuestario y que el propuesto es el adecuado y suficiente a la naturaleza del gasto u obligación que se proponga contraer.</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xml:space="preserve">Se entiende que el crédito es adecuado cuando financie obligaciones a contraer o nacidas y no </w:t>
      </w:r>
      <w:r w:rsidRPr="00EF5CBC">
        <w:rPr>
          <w:rFonts w:ascii="Tahoma" w:hAnsi="Tahoma" w:cs="Tahoma"/>
          <w:sz w:val="22"/>
          <w:szCs w:val="22"/>
        </w:rPr>
        <w:lastRenderedPageBreak/>
        <w:t>prescritas a cargo de la Tesorería de Entidad Local, cumpliendo los requisitos y reglas presupuestarias de temporalidad, especialidad y especificación reguladas en los artículos 172 y 176 del Texto Refundido de la Ley Reguladora de la Haciendas Locales.</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En los casos en los que se trate de contraer compromisos de gastos de carácter plurianual se comprobará, además, si se cumple lo preceptuado en el artículo 174 del Texto Refundido de la Reguladora de la Haciendas Locales.</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En los casos en los que el crédito presupuestario dé cobertura a gastos con financiación afectada se comprobará que los recursos que los financian son ejecutivos,  acreditándose con la existencia de documentos fehacientes que acrediten su efectividad.</w:t>
      </w: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 xml:space="preserve">Que los gastos u obligaciones se proponen al órgano competente para la aprobación, compromiso del gasto o reconocimiento de la obligación. </w:t>
      </w: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Que los expedientes de compromiso de gasto responden a gastos aprobados y, en su caso, fiscalizados favorablemente.</w:t>
      </w: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Asimismo, en los expedientes de reconocimiento de obligaciones, que los mismos responden a gastos aprobados y comprometidos y, en su caso, fiscalizados favorablemente, salvo que la aprobación, compromiso y reconocimiento de la obligación deban realizarse simultáneamente.</w:t>
      </w: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La existencia de los informes preceptivos favorables exigidos por la normativa reguladora.</w:t>
      </w:r>
    </w:p>
    <w:p w:rsidR="00EF5CBC" w:rsidRPr="00EF5CBC" w:rsidRDefault="00EF5CBC" w:rsidP="00EF5CBC">
      <w:pPr>
        <w:pStyle w:val="Prrafodelista"/>
        <w:widowControl w:val="0"/>
        <w:numPr>
          <w:ilvl w:val="0"/>
          <w:numId w:val="5"/>
        </w:numPr>
        <w:tabs>
          <w:tab w:val="left" w:pos="284"/>
          <w:tab w:val="left" w:pos="851"/>
        </w:tabs>
        <w:spacing w:before="113" w:line="100" w:lineRule="atLeast"/>
        <w:ind w:left="567" w:right="567" w:firstLine="0"/>
        <w:jc w:val="both"/>
        <w:rPr>
          <w:rFonts w:ascii="Tahoma" w:hAnsi="Tahoma" w:cs="Tahoma"/>
        </w:rPr>
      </w:pPr>
      <w:r w:rsidRPr="00EF5CBC">
        <w:rPr>
          <w:rFonts w:ascii="Tahoma" w:hAnsi="Tahoma" w:cs="Tahoma"/>
        </w:rPr>
        <w:t>Aquellos otros extremos que, por su transcendencia en el proceso de gestión, atendiendo a la naturaleza de los distintos actos, documentos o expedientes, se contienen en la presenta Instrucción.</w:t>
      </w:r>
    </w:p>
    <w:p w:rsidR="00EF5CBC" w:rsidRP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Se consideran en todo caso trascendentes en el proceso de gestión los extremos fijados en el Acuerdo del Consejo de Ministros vigente en cada momento con respecto al ejercicio de la función interventora en régimen de requisitos básicos, en aquellos supuestos que sean de aplicación a las entidades locales.</w:t>
      </w:r>
    </w:p>
    <w:p w:rsidR="00EF5CBC" w:rsidRPr="00EF5CBC" w:rsidRDefault="00EF5CBC" w:rsidP="00EF5CBC">
      <w:pPr>
        <w:pStyle w:val="Prrafodelista"/>
        <w:widowControl w:val="0"/>
        <w:numPr>
          <w:ilvl w:val="0"/>
          <w:numId w:val="10"/>
        </w:numPr>
        <w:tabs>
          <w:tab w:val="left" w:pos="284"/>
          <w:tab w:val="left" w:pos="426"/>
          <w:tab w:val="left" w:pos="709"/>
          <w:tab w:val="left" w:pos="851"/>
        </w:tabs>
        <w:autoSpaceDE w:val="0"/>
        <w:autoSpaceDN w:val="0"/>
        <w:adjustRightInd w:val="0"/>
        <w:spacing w:after="0" w:line="100" w:lineRule="atLeast"/>
        <w:ind w:left="567" w:right="567" w:firstLine="0"/>
        <w:jc w:val="both"/>
        <w:rPr>
          <w:rFonts w:ascii="Tahoma" w:hAnsi="Tahoma" w:cs="Tahoma"/>
          <w:bCs/>
        </w:rPr>
      </w:pPr>
      <w:r w:rsidRPr="00EF5CBC">
        <w:rPr>
          <w:rFonts w:ascii="Tahoma" w:hAnsi="Tahoma" w:cs="Tahoma"/>
          <w:bCs/>
        </w:rPr>
        <w:t>Cuando de los informes preceptivos a los que se hace referencia en los diferentes apartados de este Reglamento se dedujera que se han omitido requisitos o trámites que sean esenciales o que la continuación de la gestión administrativa pudiera causar quebrantos económicos al Ayuntamiento o a un tercero, se procederá al examen exhaustivo del documento o documentos objeto del informe y si, a juicio de la Intervención, se dan las mencionadas circunstancias, habrá de actuar conforme a lo preceptuado en el artículo 215 del Texto Refundido de la Ley Reguladora de la Haciendas Locales.</w:t>
      </w:r>
    </w:p>
    <w:p w:rsidR="00EF5CBC" w:rsidRPr="00EF5CBC" w:rsidRDefault="00EF5CBC" w:rsidP="00EF5CBC">
      <w:pPr>
        <w:pStyle w:val="Prrafodelista"/>
        <w:widowControl w:val="0"/>
        <w:tabs>
          <w:tab w:val="left" w:pos="284"/>
          <w:tab w:val="left" w:pos="426"/>
          <w:tab w:val="left" w:pos="709"/>
          <w:tab w:val="left" w:pos="851"/>
        </w:tabs>
        <w:autoSpaceDE w:val="0"/>
        <w:autoSpaceDN w:val="0"/>
        <w:adjustRightInd w:val="0"/>
        <w:spacing w:after="0" w:line="100" w:lineRule="atLeast"/>
        <w:ind w:left="567" w:right="567"/>
        <w:jc w:val="both"/>
        <w:rPr>
          <w:rFonts w:ascii="Tahoma" w:hAnsi="Tahoma" w:cs="Tahoma"/>
          <w:bCs/>
        </w:rPr>
      </w:pPr>
    </w:p>
    <w:p w:rsidR="00EF5CBC" w:rsidRPr="00EF5CBC" w:rsidRDefault="00EF5CBC" w:rsidP="00EF5CBC">
      <w:pPr>
        <w:widowControl w:val="0"/>
        <w:spacing w:line="100" w:lineRule="atLeast"/>
        <w:ind w:left="567" w:right="567"/>
        <w:jc w:val="both"/>
        <w:rPr>
          <w:rFonts w:ascii="Tahoma" w:hAnsi="Tahoma" w:cs="Tahoma"/>
          <w:bCs/>
          <w:sz w:val="22"/>
          <w:szCs w:val="22"/>
        </w:rPr>
      </w:pPr>
      <w:r w:rsidRPr="00EF5CBC">
        <w:rPr>
          <w:rFonts w:ascii="Tahoma" w:hAnsi="Tahoma" w:cs="Tahoma"/>
          <w:bCs/>
          <w:sz w:val="22"/>
          <w:szCs w:val="22"/>
        </w:rPr>
        <w:t>5. Será aplicable el régimen general de fiscalización e intervención previa respecto de aquellos tipos de gastos y obligaciones para los que no se haya acordado el régimen de requisitos básicos a efectos de fiscalización e intervención limitada previa, así como para los gastos de cuantía indeterminada.</w:t>
      </w:r>
    </w:p>
    <w:p w:rsidR="00EF5CBC" w:rsidRDefault="00EF5CBC" w:rsidP="00EF5CBC">
      <w:pPr>
        <w:widowControl w:val="0"/>
        <w:spacing w:before="113" w:line="100" w:lineRule="atLeast"/>
        <w:ind w:left="567" w:right="567"/>
        <w:jc w:val="both"/>
        <w:rPr>
          <w:rFonts w:ascii="Tahoma" w:hAnsi="Tahoma" w:cs="Tahoma"/>
          <w:sz w:val="22"/>
          <w:szCs w:val="22"/>
        </w:rPr>
      </w:pPr>
      <w:r w:rsidRPr="00EF5CBC">
        <w:rPr>
          <w:rFonts w:ascii="Tahoma" w:hAnsi="Tahoma" w:cs="Tahoma"/>
          <w:sz w:val="22"/>
          <w:szCs w:val="22"/>
        </w:rPr>
        <w:t xml:space="preserve">6. Si no se cumpliesen los requisitos exigidos, el órgano interventor procederá a formular reparo en la forma y con los efectos previstos en </w:t>
      </w:r>
      <w:r w:rsidR="00C61E2B">
        <w:rPr>
          <w:rFonts w:ascii="Tahoma" w:hAnsi="Tahoma" w:cs="Tahoma"/>
          <w:sz w:val="22"/>
          <w:szCs w:val="22"/>
        </w:rPr>
        <w:t>el</w:t>
      </w:r>
      <w:r w:rsidR="00C61E2B" w:rsidRPr="00C61E2B">
        <w:rPr>
          <w:rFonts w:ascii="Tahoma" w:hAnsi="Tahoma" w:cs="Tahoma"/>
          <w:sz w:val="22"/>
          <w:szCs w:val="22"/>
        </w:rPr>
        <w:t xml:space="preserve"> Texto refundido de la Ley Reguladora de Haciendas Locales y </w:t>
      </w:r>
      <w:r w:rsidR="00C61E2B">
        <w:rPr>
          <w:rFonts w:ascii="Tahoma" w:hAnsi="Tahoma" w:cs="Tahoma"/>
          <w:sz w:val="22"/>
          <w:szCs w:val="22"/>
        </w:rPr>
        <w:t>en el</w:t>
      </w:r>
      <w:r w:rsidR="00C61E2B" w:rsidRPr="00C61E2B">
        <w:rPr>
          <w:rFonts w:ascii="Tahoma" w:hAnsi="Tahoma" w:cs="Tahoma"/>
          <w:sz w:val="22"/>
          <w:szCs w:val="22"/>
        </w:rPr>
        <w:t xml:space="preserve"> Real Decreto 414/2017, de 28 de abril, por el que se regula el régimen jurídico del control interno en las entidades del Sector Público Local</w:t>
      </w:r>
      <w:r w:rsidRPr="00C61E2B">
        <w:rPr>
          <w:rFonts w:ascii="Tahoma" w:hAnsi="Tahoma" w:cs="Tahoma"/>
          <w:sz w:val="22"/>
          <w:szCs w:val="22"/>
        </w:rPr>
        <w:t xml:space="preserve">. </w:t>
      </w:r>
    </w:p>
    <w:p w:rsidR="00657E82" w:rsidRPr="00C61E2B" w:rsidRDefault="00657E82" w:rsidP="00EF5CBC">
      <w:pPr>
        <w:widowControl w:val="0"/>
        <w:spacing w:before="113" w:line="100" w:lineRule="atLeast"/>
        <w:ind w:left="567" w:right="567"/>
        <w:jc w:val="both"/>
        <w:rPr>
          <w:rFonts w:ascii="Tahoma" w:hAnsi="Tahoma" w:cs="Tahoma"/>
          <w:sz w:val="22"/>
          <w:szCs w:val="22"/>
        </w:rPr>
      </w:pPr>
    </w:p>
    <w:p w:rsidR="00EF5CBC" w:rsidRPr="00EF5CBC" w:rsidRDefault="00EF5CBC" w:rsidP="00EF5CBC">
      <w:pPr>
        <w:widowControl w:val="0"/>
        <w:spacing w:before="113" w:line="100" w:lineRule="atLeast"/>
        <w:ind w:left="567" w:right="567"/>
        <w:jc w:val="both"/>
        <w:rPr>
          <w:rFonts w:ascii="Tahoma" w:hAnsi="Tahoma" w:cs="Tahoma"/>
          <w:sz w:val="22"/>
          <w:szCs w:val="22"/>
        </w:rPr>
      </w:pPr>
    </w:p>
    <w:p w:rsidR="00EF5CBC" w:rsidRDefault="00EF5CBC" w:rsidP="00EF5CBC">
      <w:pPr>
        <w:widowControl w:val="0"/>
        <w:spacing w:line="100" w:lineRule="atLeast"/>
        <w:ind w:left="567" w:right="567"/>
        <w:jc w:val="both"/>
        <w:rPr>
          <w:rFonts w:ascii="Tahoma" w:hAnsi="Tahoma" w:cs="Tahoma"/>
          <w:b/>
          <w:bCs/>
          <w:color w:val="000000" w:themeColor="text1"/>
          <w:sz w:val="22"/>
          <w:szCs w:val="22"/>
        </w:rPr>
      </w:pPr>
      <w:r w:rsidRPr="00EF5CBC">
        <w:rPr>
          <w:rFonts w:ascii="Tahoma" w:hAnsi="Tahoma" w:cs="Tahoma"/>
          <w:b/>
          <w:bCs/>
          <w:color w:val="000000" w:themeColor="text1"/>
          <w:sz w:val="22"/>
          <w:szCs w:val="22"/>
        </w:rPr>
        <w:lastRenderedPageBreak/>
        <w:t>Regla 6. Fiscalización previa de las órdenes de pago a justificar y anticipos de caja fija. Especialidades en cuanto al régimen de los reparos.</w:t>
      </w:r>
    </w:p>
    <w:p w:rsidR="00C61E2B" w:rsidRPr="00EF5CBC" w:rsidRDefault="00C61E2B" w:rsidP="00EF5CBC">
      <w:pPr>
        <w:widowControl w:val="0"/>
        <w:spacing w:line="100" w:lineRule="atLeast"/>
        <w:ind w:left="567" w:right="567"/>
        <w:jc w:val="both"/>
        <w:rPr>
          <w:rFonts w:ascii="Tahoma" w:hAnsi="Tahoma" w:cs="Tahoma"/>
          <w:b/>
          <w:bCs/>
          <w:color w:val="000000" w:themeColor="text1"/>
          <w:sz w:val="22"/>
          <w:szCs w:val="22"/>
        </w:rPr>
      </w:pP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1. La fiscalización previa de las órdenes de pago a justificar por las que se ponen fondos a disposición de los órganos pagadores de la Entidad Local y sus organismos autónomos se verificará mediante la comprobación de los siguientes requisitos: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a) Que las propuestas de pago a justificar se basan en orden o resolución de autoridad competente para autorizar los gastos a que se refieran.</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b) Que existe crédito y el propuesto es el adecuado.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c) Que se adaptan a las normas que regulan la expedición de órdenes de pago a justificar con cargo a sus respectivos presupuestos de gastos.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d) Que el órgano pagador, a cuyo favor se libren las órdenes de pago, ha justificado dentro del plazo correspondiente la inversión de los fondos percibidos con anterioridad por los mismos conceptos presupuestarios. No obstante, no procederá el reparo por falta de justificación dentro del plazo de libramientos anteriores cuando, para paliar las consecuencias de acontecimientos catastróficos, situaciones que supongan grave peligro o necesidades que afecten directamente a la seguridad pública, el Presidente de la Entidad autorice la expedición de una orden de pago específica.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e) Que la expedición de órdenes de pago «a justificar» cumple con el plan de disposición de fondos de la Tesorería, salvo en el caso de que se trate de paliar las consecuencias de acontecimientos catastróficos, situaciones que supongan grave peligro o necesidades que afecten directamente a la seguridad pública.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Se entenderá que se cumple con el plan de disposición de fondos de la Tesorería, cuando las órdenes de pago a justificar se realicen con cargo a conceptos presupuestarios autorizados en las bases de ejecución del presupuesto.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2. La fiscalización previa de las órdenes de pago para la constitución o modificación de los anticipos de caja fija se verificará mediante la comprobación de los siguientes requisitos: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a) No supera el límite de gasto máximo asignado establecido en las Bases de Ejecución de Presupuesto.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b) Que la propuesta de pago se basa en resolución de autoridad competente.</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Sin perjuicio del resto de requisitos que puedan regular las bases de ejecución, en la fiscalización previa de las reposiciones de fondos por anticipos de caja fija el órgano interventor comprobará en cualquier caso: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a) Que el importe total de las cuentas justificativas coincide con el de los documentos contables de ejecución del presupuesto de gastos.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b) Que las propuestas de pagos se basan en resolución de autoridad competente.</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c) Que existe crédito y el propuesto es adecuado.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3. El incumplimiento de los requisitos exigidos en los apartados anteriores motivará la formulación de reparo por el órgano interventor.</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No dará lugar a la formulación de reparo los supuestos en los que:</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El órgano pagador no justifique las órdenes de pago a justificar dentro del plazo de libramientos anteriores cuando, para paliar las consecuencias de acontecimientos catastróficos, situaciones que supongan grave peligro o necesidades que afecten directamente a la seguridad pública, el Alcalde/Presidente de la Entidad autorice la expedición de una orden de pago específica.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lastRenderedPageBreak/>
        <w:t>- La expedición de órdenes de pago «a justificar» no cumpla con el plan de disposición de fondos de la Tesorería, en el caso de que se trate de paliar las consecuencias de acontecimientos catastróficos, situaciones que supongan grave peligro o necesidades que afecten directamente a la seguridad pública.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p>
    <w:p w:rsidR="00EF5CBC" w:rsidRPr="00EF5CBC" w:rsidRDefault="00EF5CBC" w:rsidP="00EF5CBC">
      <w:pPr>
        <w:widowControl w:val="0"/>
        <w:spacing w:line="100" w:lineRule="atLeast"/>
        <w:ind w:left="567" w:right="567"/>
        <w:jc w:val="both"/>
        <w:rPr>
          <w:rFonts w:ascii="Tahoma" w:hAnsi="Tahoma" w:cs="Tahoma"/>
          <w:b/>
          <w:bCs/>
          <w:color w:val="000000" w:themeColor="text1"/>
          <w:sz w:val="22"/>
          <w:szCs w:val="22"/>
        </w:rPr>
      </w:pPr>
      <w:r w:rsidRPr="00EF5CBC">
        <w:rPr>
          <w:rFonts w:ascii="Tahoma" w:hAnsi="Tahoma" w:cs="Tahoma"/>
          <w:b/>
          <w:bCs/>
          <w:color w:val="000000" w:themeColor="text1"/>
          <w:sz w:val="22"/>
          <w:szCs w:val="22"/>
        </w:rPr>
        <w:t>Regla 7. Intervención de las cuentas justificativas de los pagos a justificar y anticipos de caja fija.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1. En la intervención de las cuentas justificativas de los pagos a justificar y de los anticipos de caja fija, se comprobará en todo caso: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Que corresponden a gastos concretos y determinados en cuya ejecución se haya seguido el procedimiento aplicable en cada caso,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Que son adecuados al fin para el que se entregaron los fondos,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Que se acredita la realización efectiva y conforme de los gastos o servicios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Que el pago se ha realizado a acreedor determinado por el importe debido.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2. La intervención se llevará mediante el examen de las cuentas y los documentos que justifiquen cada partida.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Los resultados se reflejarán en informe en el que el órgano interventor manifestará su conformidad con la cuenta o los defectos observados en la misma. La opinión favorable o desfavorable contenida en el informe se hará constar en la cuenta examinada, sin que tenga este informe efectos suspensivos respecto de la aprobación de la cuenta.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No dará lugar a la formulación de reparo los supuestos en los que:</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El órgano competente aprobará, en su caso, las cuentas, que quedarán a disposición del órgano de control externo.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3. Con ocasión de la dación de cuenta de la liquidación del presupuesto, en un punto adicional, se elevará a dicho órgano un informe con los resultados obtenidos del control de las cuentas a justificar y anticipos de caja fija.</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p>
    <w:p w:rsidR="00EF5CBC" w:rsidRDefault="00EF5CBC" w:rsidP="00EF5CBC">
      <w:pPr>
        <w:widowControl w:val="0"/>
        <w:spacing w:line="100" w:lineRule="atLeast"/>
        <w:ind w:left="567" w:right="567"/>
        <w:jc w:val="center"/>
        <w:rPr>
          <w:rFonts w:ascii="Tahoma" w:hAnsi="Tahoma" w:cs="Tahoma"/>
          <w:b/>
          <w:color w:val="000000" w:themeColor="text1"/>
          <w:sz w:val="22"/>
          <w:szCs w:val="22"/>
        </w:rPr>
      </w:pPr>
      <w:r w:rsidRPr="00EF5CBC">
        <w:rPr>
          <w:rFonts w:ascii="Tahoma" w:hAnsi="Tahoma" w:cs="Tahoma"/>
          <w:b/>
          <w:color w:val="000000" w:themeColor="text1"/>
          <w:sz w:val="22"/>
          <w:szCs w:val="22"/>
        </w:rPr>
        <w:t>TÍTULO III. DEL CONTROL FINANCIERO.</w:t>
      </w:r>
    </w:p>
    <w:p w:rsidR="00C61E2B" w:rsidRPr="00EF5CBC" w:rsidRDefault="00C61E2B" w:rsidP="00EF5CBC">
      <w:pPr>
        <w:widowControl w:val="0"/>
        <w:spacing w:line="100" w:lineRule="atLeast"/>
        <w:ind w:left="567" w:right="567"/>
        <w:jc w:val="center"/>
        <w:rPr>
          <w:rFonts w:ascii="Tahoma" w:hAnsi="Tahoma" w:cs="Tahoma"/>
          <w:b/>
          <w:color w:val="000000" w:themeColor="text1"/>
          <w:sz w:val="22"/>
          <w:szCs w:val="22"/>
        </w:rPr>
      </w:pPr>
    </w:p>
    <w:p w:rsidR="00EF5CBC" w:rsidRDefault="00EF5CBC" w:rsidP="00EF5CBC">
      <w:pPr>
        <w:widowControl w:val="0"/>
        <w:spacing w:line="100" w:lineRule="atLeast"/>
        <w:ind w:left="567" w:right="567"/>
        <w:jc w:val="both"/>
        <w:rPr>
          <w:rFonts w:ascii="Tahoma" w:hAnsi="Tahoma" w:cs="Tahoma"/>
          <w:b/>
          <w:bCs/>
          <w:color w:val="000000" w:themeColor="text1"/>
          <w:sz w:val="22"/>
          <w:szCs w:val="22"/>
        </w:rPr>
      </w:pPr>
      <w:r w:rsidRPr="00EF5CBC">
        <w:rPr>
          <w:rFonts w:ascii="Tahoma" w:hAnsi="Tahoma" w:cs="Tahoma"/>
          <w:b/>
          <w:bCs/>
          <w:color w:val="000000" w:themeColor="text1"/>
          <w:sz w:val="22"/>
          <w:szCs w:val="22"/>
        </w:rPr>
        <w:t xml:space="preserve">Regla 8. Control financiero de la actividad económico financiera, de las subvenciones y ayudas públicas. </w:t>
      </w:r>
    </w:p>
    <w:p w:rsidR="00C61E2B" w:rsidRPr="00EF5CBC" w:rsidRDefault="00C61E2B" w:rsidP="00EF5CBC">
      <w:pPr>
        <w:widowControl w:val="0"/>
        <w:spacing w:line="100" w:lineRule="atLeast"/>
        <w:ind w:left="567" w:right="567"/>
        <w:jc w:val="both"/>
        <w:rPr>
          <w:rFonts w:ascii="Tahoma" w:hAnsi="Tahoma" w:cs="Tahoma"/>
          <w:b/>
          <w:bCs/>
          <w:color w:val="000000" w:themeColor="text1"/>
          <w:sz w:val="22"/>
          <w:szCs w:val="22"/>
        </w:rPr>
      </w:pP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1. El control financiero de la actividad económico financiera del sector público local se ejercerá mediante el ejercicios del control permanente y la auditoría pública. En ambos casos se incluirá el control de eficacia con el objeto de verificar el grado de cumplimiento de los objetivos programados, del coste y rendimiento de los servicios públicos de conformidad con los principios de eficiencia, estabilidad presupuestaria y sostenibilidad financiera en el uso de los recursos públicos locales.</w:t>
      </w:r>
    </w:p>
    <w:p w:rsidR="00EF5CBC" w:rsidRPr="00EF5CBC" w:rsidRDefault="00EF5CBC" w:rsidP="00EF5CBC">
      <w:pPr>
        <w:widowControl w:val="0"/>
        <w:spacing w:line="100" w:lineRule="atLeast"/>
        <w:ind w:left="567" w:right="567"/>
        <w:jc w:val="both"/>
        <w:rPr>
          <w:rFonts w:ascii="Tahoma" w:hAnsi="Tahoma" w:cs="Tahoma"/>
          <w:b/>
          <w:color w:val="000000" w:themeColor="text1"/>
          <w:sz w:val="22"/>
          <w:szCs w:val="22"/>
        </w:rPr>
      </w:pPr>
      <w:r w:rsidRPr="00EF5CBC">
        <w:rPr>
          <w:rFonts w:ascii="Tahoma" w:hAnsi="Tahoma" w:cs="Tahoma"/>
          <w:color w:val="000000" w:themeColor="text1"/>
          <w:sz w:val="22"/>
          <w:szCs w:val="22"/>
        </w:rPr>
        <w:t>Tanto el control permanente como la auditoría pública se ejercerán con las facultades, el alcance y en las entidades locales que señala el Reglamento de Control Interno vigente en cada momento.</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xml:space="preserve">2. El artículo 40 del Real Decreto 424/2017, de 28 de abril, señala que las Entidades Locales acogidas al régimen de control interno simplificado ejercerán la función interventora, en sus dos modalidades de régimen ordinario y especial de fiscalización e intervención limitada previa, respecto a la gestión económica de la Entidad Local, no siendo de aplicación obligatoria la </w:t>
      </w:r>
      <w:r w:rsidRPr="00EF5CBC">
        <w:rPr>
          <w:rFonts w:ascii="Tahoma" w:hAnsi="Tahoma" w:cs="Tahoma"/>
          <w:color w:val="000000" w:themeColor="text1"/>
          <w:sz w:val="22"/>
          <w:szCs w:val="22"/>
        </w:rPr>
        <w:lastRenderedPageBreak/>
        <w:t xml:space="preserve">función de control financiero, sin perjuicio de la aplicación de la auditoría de cuentas en los supuestos previstos en el artículo 29.3.A) del </w:t>
      </w:r>
      <w:r w:rsidRPr="00EF5CBC">
        <w:rPr>
          <w:rFonts w:ascii="Tahoma" w:hAnsi="Tahoma" w:cs="Tahoma"/>
          <w:bCs/>
          <w:sz w:val="22"/>
          <w:szCs w:val="22"/>
        </w:rPr>
        <w:t>Real Decreto 424/2017, de 28 de abril</w:t>
      </w:r>
      <w:r w:rsidRPr="00EF5CBC">
        <w:rPr>
          <w:rFonts w:ascii="Tahoma" w:hAnsi="Tahoma" w:cs="Tahoma"/>
          <w:color w:val="000000" w:themeColor="text1"/>
          <w:sz w:val="22"/>
          <w:szCs w:val="22"/>
        </w:rPr>
        <w:t xml:space="preserve"> y de aquellas actuaciones cuya realización por el órgano interventor derive de una obligación legal.</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xml:space="preserve">En el caso de aplicar el régimen de control simplificado, las función de control financiero no serán de aplicación obligatoria, salvo en los supuestos en los que se deban realizar auditoría de cuentas de algún ente o los controles financieros que deriven de obligación legal. </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 xml:space="preserve">En los casos de auditorías de cuentas obligatorias y de controles financieros derivados de una obligación legal, deberán elaborar el Plan de Control Financiero tal y como recoge el artículo 31 del </w:t>
      </w:r>
      <w:r w:rsidRPr="00EF5CBC">
        <w:rPr>
          <w:rFonts w:ascii="Tahoma" w:hAnsi="Tahoma" w:cs="Tahoma"/>
          <w:bCs/>
          <w:sz w:val="22"/>
          <w:szCs w:val="22"/>
        </w:rPr>
        <w:t>Real Decreto 424/2017, de 28 de abril</w:t>
      </w:r>
      <w:r w:rsidRPr="00EF5CBC">
        <w:rPr>
          <w:rFonts w:ascii="Tahoma" w:hAnsi="Tahoma" w:cs="Tahoma"/>
          <w:color w:val="000000" w:themeColor="text1"/>
          <w:sz w:val="22"/>
          <w:szCs w:val="22"/>
        </w:rPr>
        <w:t>.</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3. El control financiero de las subvenciones y de las ayudas públicas se ejercerá por la Intervención respecto de los beneficiarios de subvenciones y ayudas públicas, y en su caso, entidades colaboradoras, que tendrá por objeto verificar cualquiera de los extremos contemplados en la Ley General de Subvenciones.</w:t>
      </w:r>
    </w:p>
    <w:p w:rsidR="00EF5CBC" w:rsidRPr="00EF5CBC" w:rsidRDefault="00EF5CBC" w:rsidP="00EF5CBC">
      <w:pPr>
        <w:widowControl w:val="0"/>
        <w:spacing w:line="100" w:lineRule="atLeast"/>
        <w:ind w:left="567" w:right="567"/>
        <w:jc w:val="both"/>
        <w:rPr>
          <w:rFonts w:ascii="Tahoma" w:hAnsi="Tahoma" w:cs="Tahoma"/>
          <w:color w:val="000000" w:themeColor="text1"/>
          <w:sz w:val="22"/>
          <w:szCs w:val="22"/>
        </w:rPr>
      </w:pPr>
      <w:r w:rsidRPr="00EF5CBC">
        <w:rPr>
          <w:rFonts w:ascii="Tahoma" w:hAnsi="Tahoma" w:cs="Tahoma"/>
          <w:color w:val="000000" w:themeColor="text1"/>
          <w:sz w:val="22"/>
          <w:szCs w:val="22"/>
        </w:rPr>
        <w:t>Cuando en el ejercicio de las funciones de control se deduzcan indicios de la incorrecta obtención, destino o justificación de la subvención o ayuda percibida, los agentes encargados de su realización podrán, previa autorización de la Intervención, acordar la retención de las facturas, documentos equivalentes o sustitutivos y de cualquier otro documento relativo a las operaciones en que tales indicios se manifiesten.</w:t>
      </w:r>
    </w:p>
    <w:p w:rsidR="00EF5CBC" w:rsidRPr="00EF5CBC" w:rsidRDefault="00EF5CBC" w:rsidP="00EF5CBC">
      <w:pPr>
        <w:widowControl w:val="0"/>
        <w:spacing w:line="100" w:lineRule="atLeast"/>
        <w:ind w:left="567" w:right="567"/>
        <w:jc w:val="both"/>
        <w:rPr>
          <w:rFonts w:ascii="Tahoma" w:hAnsi="Tahoma" w:cs="Tahoma"/>
          <w:b/>
          <w:bCs/>
          <w:color w:val="4F81BD" w:themeColor="accent1"/>
          <w:sz w:val="22"/>
          <w:szCs w:val="22"/>
        </w:rPr>
      </w:pPr>
    </w:p>
    <w:p w:rsidR="00EF5CBC" w:rsidRPr="00EF5CBC" w:rsidRDefault="00EF5CBC" w:rsidP="00EF5CBC">
      <w:pPr>
        <w:widowControl w:val="0"/>
        <w:spacing w:line="100" w:lineRule="atLeast"/>
        <w:ind w:left="567" w:right="567"/>
        <w:jc w:val="both"/>
        <w:rPr>
          <w:rFonts w:ascii="Tahoma" w:hAnsi="Tahoma" w:cs="Tahoma"/>
          <w:b/>
          <w:bCs/>
          <w:color w:val="4F81BD" w:themeColor="accent1"/>
          <w:sz w:val="22"/>
          <w:szCs w:val="22"/>
        </w:rPr>
      </w:pPr>
    </w:p>
    <w:p w:rsidR="00EF5CBC" w:rsidRPr="00EF5CBC" w:rsidRDefault="00EF5CBC" w:rsidP="00EF5CBC">
      <w:pPr>
        <w:widowControl w:val="0"/>
        <w:spacing w:line="100" w:lineRule="atLeast"/>
        <w:ind w:left="567" w:right="567"/>
        <w:jc w:val="both"/>
        <w:rPr>
          <w:rFonts w:ascii="Tahoma" w:hAnsi="Tahoma" w:cs="Tahoma"/>
          <w:b/>
          <w:bCs/>
          <w:color w:val="4F81BD" w:themeColor="accent1"/>
          <w:sz w:val="22"/>
          <w:szCs w:val="22"/>
        </w:rPr>
      </w:pPr>
    </w:p>
    <w:p w:rsidR="00EF5CBC" w:rsidRPr="00EF5CBC" w:rsidRDefault="00EF5CBC" w:rsidP="00EF5CBC">
      <w:pPr>
        <w:widowControl w:val="0"/>
        <w:spacing w:line="100" w:lineRule="atLeast"/>
        <w:ind w:left="567" w:right="567"/>
        <w:jc w:val="both"/>
        <w:rPr>
          <w:rFonts w:ascii="Tahoma" w:hAnsi="Tahoma" w:cs="Tahoma"/>
          <w:b/>
          <w:bCs/>
          <w:sz w:val="22"/>
          <w:szCs w:val="22"/>
        </w:rPr>
      </w:pPr>
      <w:r w:rsidRPr="00EF5CBC">
        <w:rPr>
          <w:rFonts w:ascii="Tahoma" w:hAnsi="Tahoma" w:cs="Tahoma"/>
          <w:b/>
          <w:bCs/>
          <w:sz w:val="22"/>
          <w:szCs w:val="22"/>
        </w:rPr>
        <w:t>ANEXO I. Extremos de comprobación adicional por tipos de expedientes.</w:t>
      </w:r>
    </w:p>
    <w:p w:rsidR="00EF5CBC" w:rsidRPr="00EF5CBC" w:rsidRDefault="00EF5CBC" w:rsidP="00EF5CBC">
      <w:pPr>
        <w:widowControl w:val="0"/>
        <w:tabs>
          <w:tab w:val="left" w:pos="284"/>
          <w:tab w:val="left" w:pos="851"/>
        </w:tabs>
        <w:spacing w:line="100" w:lineRule="atLeast"/>
        <w:ind w:left="567" w:right="567"/>
        <w:jc w:val="both"/>
        <w:rPr>
          <w:rFonts w:ascii="Tahoma" w:hAnsi="Tahoma" w:cs="Tahoma"/>
          <w:b/>
          <w:bCs/>
          <w:sz w:val="22"/>
          <w:szCs w:val="22"/>
        </w:rPr>
      </w:pPr>
      <w:r w:rsidRPr="00EF5CBC">
        <w:rPr>
          <w:rFonts w:ascii="Tahoma" w:hAnsi="Tahoma" w:cs="Tahoma"/>
          <w:b/>
          <w:bCs/>
          <w:sz w:val="22"/>
          <w:szCs w:val="22"/>
        </w:rPr>
        <w:t>1.</w:t>
      </w:r>
      <w:r w:rsidRPr="00EF5CBC">
        <w:rPr>
          <w:rFonts w:ascii="Tahoma" w:hAnsi="Tahoma" w:cs="Tahoma"/>
          <w:b/>
          <w:bCs/>
          <w:sz w:val="22"/>
          <w:szCs w:val="22"/>
        </w:rPr>
        <w:tab/>
        <w:t>Gastos de personal.</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2. Contrato de obras.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3. Contratos de Suministros.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4. Contratos de Servicios.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5. Expedientes relativos a otros contratos de servicios.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6. Ejecución de trabajos por la propia Administración. Expedientes de ejecución de trabajos por la propia Administración: contratos de colaboración con empresarios particulares y encargos a medios propios personificados.  </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7. Contratos de concesión de obra.  </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8. Contratos de concesión de servicios. </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 xml:space="preserve">9. Contratos de gestión de servicios públicos. </w:t>
      </w:r>
    </w:p>
    <w:p w:rsidR="00EF5CBC" w:rsidRPr="00EF5CBC" w:rsidRDefault="00EF5CBC" w:rsidP="00EF5CBC">
      <w:pPr>
        <w:widowControl w:val="0"/>
        <w:tabs>
          <w:tab w:val="left" w:pos="284"/>
        </w:tabs>
        <w:spacing w:line="100" w:lineRule="atLeast"/>
        <w:ind w:left="567" w:right="567"/>
        <w:jc w:val="both"/>
        <w:rPr>
          <w:rFonts w:ascii="Tahoma" w:hAnsi="Tahoma" w:cs="Tahoma"/>
          <w:b/>
          <w:bCs/>
          <w:color w:val="FF0000"/>
          <w:sz w:val="22"/>
          <w:szCs w:val="22"/>
        </w:rPr>
      </w:pPr>
      <w:r w:rsidRPr="00EF5CBC">
        <w:rPr>
          <w:rFonts w:ascii="Tahoma" w:hAnsi="Tahoma" w:cs="Tahoma"/>
          <w:b/>
          <w:bCs/>
          <w:color w:val="FF0000"/>
          <w:sz w:val="22"/>
          <w:szCs w:val="22"/>
        </w:rPr>
        <w:t>10. Contratos menores.</w:t>
      </w:r>
    </w:p>
    <w:p w:rsidR="00EF5CBC" w:rsidRPr="00EF5CBC" w:rsidRDefault="00EF5CBC" w:rsidP="00EF5CBC">
      <w:pPr>
        <w:widowControl w:val="0"/>
        <w:tabs>
          <w:tab w:val="left" w:pos="284"/>
        </w:tabs>
        <w:spacing w:line="100" w:lineRule="atLeast"/>
        <w:ind w:left="567" w:right="567"/>
        <w:jc w:val="both"/>
        <w:rPr>
          <w:rFonts w:ascii="Tahoma" w:hAnsi="Tahoma" w:cs="Tahoma"/>
          <w:b/>
          <w:bCs/>
          <w:color w:val="FF0000"/>
          <w:sz w:val="22"/>
          <w:szCs w:val="22"/>
        </w:rPr>
      </w:pPr>
      <w:r w:rsidRPr="00EF5CBC">
        <w:rPr>
          <w:rFonts w:ascii="Tahoma" w:hAnsi="Tahoma" w:cs="Tahoma"/>
          <w:b/>
          <w:bCs/>
          <w:sz w:val="22"/>
          <w:szCs w:val="22"/>
        </w:rPr>
        <w:t xml:space="preserve">11. Contratos tramitados a través de acuerdos marcos y sistemas dinámicos de contratación. </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12. Subvenciones.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13. Convenios de colaboración.</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14. Responsabilidad Patrimonial.</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15. En los expedientes de gasto derivados de Expropiaciones forzosas.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16. Adquisiciones de bienes.</w:t>
      </w:r>
    </w:p>
    <w:p w:rsidR="00EF5CBC" w:rsidRPr="00EF5CBC" w:rsidRDefault="00EF5CBC" w:rsidP="00EF5CBC">
      <w:pPr>
        <w:widowControl w:val="0"/>
        <w:tabs>
          <w:tab w:val="left" w:pos="284"/>
        </w:tabs>
        <w:spacing w:line="100" w:lineRule="atLeast"/>
        <w:ind w:left="567" w:right="567"/>
        <w:jc w:val="both"/>
        <w:rPr>
          <w:rFonts w:ascii="Tahoma" w:hAnsi="Tahoma" w:cs="Tahoma"/>
          <w:b/>
          <w:bCs/>
          <w:sz w:val="22"/>
          <w:szCs w:val="22"/>
        </w:rPr>
      </w:pPr>
      <w:r w:rsidRPr="00EF5CBC">
        <w:rPr>
          <w:rFonts w:ascii="Tahoma" w:hAnsi="Tahoma" w:cs="Tahoma"/>
          <w:b/>
          <w:bCs/>
          <w:sz w:val="22"/>
          <w:szCs w:val="22"/>
        </w:rPr>
        <w:t>17. Arrendamiento de bienes muebles.</w:t>
      </w:r>
    </w:p>
    <w:p w:rsidR="00EF5CBC" w:rsidRPr="00EF5CBC" w:rsidRDefault="00EF5CBC" w:rsidP="00EF5CBC">
      <w:pPr>
        <w:widowControl w:val="0"/>
        <w:tabs>
          <w:tab w:val="left" w:pos="284"/>
          <w:tab w:val="left" w:pos="4447"/>
        </w:tabs>
        <w:spacing w:line="100" w:lineRule="atLeast"/>
        <w:ind w:left="567" w:right="567"/>
        <w:jc w:val="both"/>
        <w:rPr>
          <w:rFonts w:ascii="Tahoma" w:hAnsi="Tahoma" w:cs="Tahoma"/>
          <w:b/>
          <w:bCs/>
          <w:sz w:val="22"/>
          <w:szCs w:val="22"/>
        </w:rPr>
      </w:pPr>
      <w:r w:rsidRPr="00EF5CBC">
        <w:rPr>
          <w:rFonts w:ascii="Tahoma" w:hAnsi="Tahoma" w:cs="Tahoma"/>
          <w:b/>
          <w:bCs/>
          <w:sz w:val="22"/>
          <w:szCs w:val="22"/>
        </w:rPr>
        <w:t>18. Anticipos de caja fija y Pagos a Justificar.</w:t>
      </w:r>
      <w:r w:rsidRPr="00EF5CBC">
        <w:rPr>
          <w:rFonts w:ascii="Tahoma" w:hAnsi="Tahoma" w:cs="Tahoma"/>
          <w:b/>
          <w:bCs/>
          <w:sz w:val="22"/>
          <w:szCs w:val="22"/>
        </w:rPr>
        <w:tab/>
      </w:r>
    </w:p>
    <w:p w:rsidR="00EF5CBC" w:rsidRPr="00EF5CBC" w:rsidRDefault="00EF5CBC" w:rsidP="00EF5CBC">
      <w:pPr>
        <w:widowControl w:val="0"/>
        <w:tabs>
          <w:tab w:val="left" w:pos="284"/>
          <w:tab w:val="left" w:pos="4447"/>
        </w:tabs>
        <w:spacing w:line="100" w:lineRule="atLeast"/>
        <w:ind w:left="567" w:right="567"/>
        <w:jc w:val="both"/>
        <w:rPr>
          <w:rFonts w:ascii="Tahoma" w:hAnsi="Tahoma" w:cs="Tahoma"/>
          <w:b/>
          <w:bCs/>
          <w:sz w:val="22"/>
          <w:szCs w:val="22"/>
        </w:rPr>
      </w:pPr>
      <w:r w:rsidRPr="00EF5CBC">
        <w:rPr>
          <w:rFonts w:ascii="Tahoma" w:hAnsi="Tahoma" w:cs="Tahoma"/>
          <w:b/>
          <w:bCs/>
          <w:sz w:val="22"/>
          <w:szCs w:val="22"/>
        </w:rPr>
        <w:t>19. Tramitación de emergencia.</w:t>
      </w:r>
    </w:p>
    <w:p w:rsidR="00EF5CBC" w:rsidRPr="00EF5CBC" w:rsidRDefault="00EF5CBC" w:rsidP="00EF5CBC">
      <w:pPr>
        <w:widowControl w:val="0"/>
        <w:tabs>
          <w:tab w:val="left" w:pos="284"/>
          <w:tab w:val="left" w:pos="4447"/>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284"/>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284"/>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Gastos de personal.</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781" w:type="dxa"/>
        <w:tblInd w:w="637" w:type="dxa"/>
        <w:tblCellMar>
          <w:left w:w="70" w:type="dxa"/>
          <w:right w:w="70" w:type="dxa"/>
        </w:tblCellMar>
        <w:tblLook w:val="04A0"/>
      </w:tblPr>
      <w:tblGrid>
        <w:gridCol w:w="2930"/>
        <w:gridCol w:w="6851"/>
      </w:tblGrid>
      <w:tr w:rsidR="00EF5CBC" w:rsidRPr="00EF5CBC" w:rsidTr="00EF5CBC">
        <w:trPr>
          <w:trHeight w:val="315"/>
        </w:trPr>
        <w:tc>
          <w:tcPr>
            <w:tcW w:w="293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GASTOS DE PERSONAL</w:t>
            </w:r>
          </w:p>
        </w:tc>
        <w:tc>
          <w:tcPr>
            <w:tcW w:w="6851" w:type="dxa"/>
            <w:tcBorders>
              <w:top w:val="single" w:sz="8" w:space="0" w:color="auto"/>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315"/>
        </w:trPr>
        <w:tc>
          <w:tcPr>
            <w:tcW w:w="2930"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85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975"/>
        </w:trPr>
        <w:tc>
          <w:tcPr>
            <w:tcW w:w="2930" w:type="dxa"/>
            <w:vMerge w:val="restart"/>
            <w:tcBorders>
              <w:top w:val="nil"/>
              <w:left w:val="single" w:sz="8" w:space="0" w:color="auto"/>
              <w:bottom w:val="single" w:sz="8" w:space="0" w:color="000000"/>
              <w:right w:val="single" w:sz="4" w:space="0" w:color="auto"/>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1. Convocatoria de pruebas selectivas.</w:t>
            </w: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Informe de que los puestos a cubrir figuran en la Relación de Puestos de Trabajo y de que la plaza a ocupar aparece en la oferta de empleo público publicada en el BOP (Fijos y Funcionarios).</w:t>
            </w:r>
          </w:p>
        </w:tc>
      </w:tr>
      <w:tr w:rsidR="00EF5CBC" w:rsidRPr="00EF5CBC" w:rsidTr="00EF5CBC">
        <w:trPr>
          <w:trHeight w:val="315"/>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70C0"/>
                <w:sz w:val="20"/>
                <w:szCs w:val="20"/>
              </w:rPr>
            </w:pPr>
          </w:p>
        </w:tc>
        <w:tc>
          <w:tcPr>
            <w:tcW w:w="685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Propuesta del órgano competente.</w:t>
            </w:r>
          </w:p>
        </w:tc>
      </w:tr>
      <w:tr w:rsidR="00EF5CBC" w:rsidRPr="00EF5CBC" w:rsidTr="00EF5CBC">
        <w:trPr>
          <w:trHeight w:val="495"/>
        </w:trPr>
        <w:tc>
          <w:tcPr>
            <w:tcW w:w="2930" w:type="dxa"/>
            <w:vMerge w:val="restart"/>
            <w:tcBorders>
              <w:top w:val="nil"/>
              <w:left w:val="single" w:sz="8" w:space="0" w:color="auto"/>
              <w:bottom w:val="nil"/>
              <w:right w:val="single" w:sz="4" w:space="0" w:color="auto"/>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2. Selección y nombramiento del personal funcionario.</w:t>
            </w: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Requisito de publicidad de la correspondiente convocatoria.</w:t>
            </w:r>
          </w:p>
        </w:tc>
      </w:tr>
      <w:tr w:rsidR="00EF5CBC" w:rsidRPr="00EF5CBC" w:rsidTr="00EF5CBC">
        <w:trPr>
          <w:trHeight w:val="570"/>
        </w:trPr>
        <w:tc>
          <w:tcPr>
            <w:tcW w:w="2930" w:type="dxa"/>
            <w:vMerge/>
            <w:tcBorders>
              <w:top w:val="nil"/>
              <w:left w:val="single" w:sz="8" w:space="0" w:color="auto"/>
              <w:bottom w:val="nil"/>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Acta del tribunal seleccionador y propuesta de nombramiento.</w:t>
            </w:r>
          </w:p>
        </w:tc>
      </w:tr>
      <w:tr w:rsidR="00EF5CBC" w:rsidRPr="00EF5CBC" w:rsidTr="00EF5CBC">
        <w:trPr>
          <w:trHeight w:val="1035"/>
        </w:trPr>
        <w:tc>
          <w:tcPr>
            <w:tcW w:w="2930" w:type="dxa"/>
            <w:vMerge w:val="restart"/>
            <w:tcBorders>
              <w:top w:val="single" w:sz="8" w:space="0" w:color="auto"/>
              <w:left w:val="single" w:sz="8" w:space="0" w:color="auto"/>
              <w:bottom w:val="nil"/>
              <w:right w:val="single" w:sz="4" w:space="0" w:color="auto"/>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3. Contratación del personal laboral fijo:</w:t>
            </w:r>
          </w:p>
        </w:tc>
        <w:tc>
          <w:tcPr>
            <w:tcW w:w="6851" w:type="dxa"/>
            <w:tcBorders>
              <w:top w:val="single" w:sz="8"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La incorporación de certificado acreditativo, expedido por órgano competente, de que los puestos a cubrir figuran detallados en las respectivas relaciones o catálogos de puestos de trabajo y están vacantes.</w:t>
            </w:r>
          </w:p>
        </w:tc>
      </w:tr>
      <w:tr w:rsidR="00EF5CBC" w:rsidRPr="00EF5CBC" w:rsidTr="00EF5CBC">
        <w:trPr>
          <w:trHeight w:val="900"/>
        </w:trPr>
        <w:tc>
          <w:tcPr>
            <w:tcW w:w="2930" w:type="dxa"/>
            <w:vMerge/>
            <w:tcBorders>
              <w:top w:val="single" w:sz="8" w:space="0" w:color="auto"/>
              <w:left w:val="single" w:sz="8" w:space="0" w:color="auto"/>
              <w:bottom w:val="nil"/>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Haber sido cumplimentado el requisito de publicidad de las correspondientes convocatorias en los términos establecidos por la normativa que en cada caso resulte de aplicación.</w:t>
            </w:r>
          </w:p>
        </w:tc>
      </w:tr>
      <w:tr w:rsidR="00EF5CBC" w:rsidRPr="00EF5CBC" w:rsidTr="00EF5CBC">
        <w:trPr>
          <w:trHeight w:val="600"/>
        </w:trPr>
        <w:tc>
          <w:tcPr>
            <w:tcW w:w="2930" w:type="dxa"/>
            <w:vMerge/>
            <w:tcBorders>
              <w:top w:val="single" w:sz="8" w:space="0" w:color="auto"/>
              <w:left w:val="single" w:sz="8" w:space="0" w:color="auto"/>
              <w:bottom w:val="nil"/>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Acreditación de los resultados del proceso selectivo expedida por el órgano competente.</w:t>
            </w:r>
          </w:p>
        </w:tc>
      </w:tr>
      <w:tr w:rsidR="00EF5CBC" w:rsidRPr="00EF5CBC" w:rsidTr="00EF5CBC">
        <w:trPr>
          <w:trHeight w:val="600"/>
        </w:trPr>
        <w:tc>
          <w:tcPr>
            <w:tcW w:w="2930" w:type="dxa"/>
            <w:vMerge/>
            <w:tcBorders>
              <w:top w:val="single" w:sz="8" w:space="0" w:color="auto"/>
              <w:left w:val="single" w:sz="8" w:space="0" w:color="auto"/>
              <w:bottom w:val="nil"/>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Adecuación del contrato que se formaliza con lo dispuesto en la normativa vigente.</w:t>
            </w:r>
          </w:p>
        </w:tc>
      </w:tr>
      <w:tr w:rsidR="00EF5CBC" w:rsidRPr="00EF5CBC" w:rsidTr="00EF5CBC">
        <w:trPr>
          <w:trHeight w:val="1215"/>
        </w:trPr>
        <w:tc>
          <w:tcPr>
            <w:tcW w:w="2930" w:type="dxa"/>
            <w:vMerge/>
            <w:tcBorders>
              <w:top w:val="single" w:sz="8" w:space="0" w:color="auto"/>
              <w:left w:val="single" w:sz="8" w:space="0" w:color="auto"/>
              <w:bottom w:val="nil"/>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Que las retribuciones que se señalen en el contrato se ajusten al Convenio Colectivo que resulte de aplicación y, si se trata de un contrato al margen del Convenio, que exista aprobación del órgano competente municipal.</w:t>
            </w:r>
          </w:p>
        </w:tc>
      </w:tr>
      <w:tr w:rsidR="00EF5CBC" w:rsidRPr="00EF5CBC" w:rsidTr="00EF5CBC">
        <w:trPr>
          <w:trHeight w:val="690"/>
        </w:trPr>
        <w:tc>
          <w:tcPr>
            <w:tcW w:w="2930"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4. Contratación de personal laboral temporal:</w:t>
            </w:r>
          </w:p>
        </w:tc>
        <w:tc>
          <w:tcPr>
            <w:tcW w:w="6851" w:type="dxa"/>
            <w:tcBorders>
              <w:top w:val="single" w:sz="8"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Justificación del motivo de contratación. Justificación de la necesidad y urgencia de la contratación en los casos de limitaciones presupuestarias.</w:t>
            </w:r>
          </w:p>
        </w:tc>
      </w:tr>
      <w:tr w:rsidR="00EF5CBC" w:rsidRPr="00EF5CBC" w:rsidTr="00EF5CBC">
        <w:trPr>
          <w:trHeight w:val="420"/>
        </w:trPr>
        <w:tc>
          <w:tcPr>
            <w:tcW w:w="2930"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Acta del tribunal seleccionador y propuesta de nombramiento.</w:t>
            </w:r>
          </w:p>
        </w:tc>
      </w:tr>
      <w:tr w:rsidR="00EF5CBC" w:rsidRPr="00EF5CBC" w:rsidTr="00EF5CBC">
        <w:trPr>
          <w:trHeight w:val="921"/>
        </w:trPr>
        <w:tc>
          <w:tcPr>
            <w:tcW w:w="2930"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Informe justificando los criterios de selección establecidos, del resultado del proceso selectivo y de que el contrato se adecua a la normativa laboral vigente. En el informe se analizará el cumplimento de la normativa para evitar la transformación de personal temporal en indefinido no fijo.</w:t>
            </w:r>
          </w:p>
        </w:tc>
      </w:tr>
      <w:tr w:rsidR="00EF5CBC" w:rsidRPr="00EF5CBC" w:rsidTr="00EF5CBC">
        <w:trPr>
          <w:trHeight w:val="1050"/>
        </w:trPr>
        <w:tc>
          <w:tcPr>
            <w:tcW w:w="2930"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las retribuciones que se señalen en el contrato se ajusten al Convenio Colectivo que resulte de aplicación y/o se ajustan a las fijadas en las órdenes que regulan las subvenciones en base a las cuales se contrata.</w:t>
            </w:r>
          </w:p>
        </w:tc>
      </w:tr>
      <w:tr w:rsidR="00EF5CBC" w:rsidRPr="00EF5CBC" w:rsidTr="00EF5CBC">
        <w:trPr>
          <w:trHeight w:val="600"/>
        </w:trPr>
        <w:tc>
          <w:tcPr>
            <w:tcW w:w="2930"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single" w:sz="4"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En caso de prórroga, se verificará que no supera el plazo previsto en la legislación vigente.</w:t>
            </w:r>
          </w:p>
        </w:tc>
      </w:tr>
      <w:tr w:rsidR="00EF5CBC" w:rsidRPr="00EF5CBC" w:rsidTr="00EF5CBC">
        <w:trPr>
          <w:trHeight w:val="300"/>
        </w:trPr>
        <w:tc>
          <w:tcPr>
            <w:tcW w:w="2930" w:type="dxa"/>
            <w:vMerge w:val="restart"/>
            <w:tcBorders>
              <w:top w:val="nil"/>
              <w:left w:val="single" w:sz="8" w:space="0" w:color="auto"/>
              <w:bottom w:val="single" w:sz="8" w:space="0" w:color="000000"/>
              <w:right w:val="single" w:sz="4" w:space="0" w:color="auto"/>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5. Nóminas de retribuciones de personal:</w:t>
            </w:r>
          </w:p>
        </w:tc>
        <w:tc>
          <w:tcPr>
            <w:tcW w:w="6851" w:type="dxa"/>
            <w:tcBorders>
              <w:top w:val="single" w:sz="4"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las nóminas están firmadas por el responsable de su </w:t>
            </w:r>
            <w:proofErr w:type="spellStart"/>
            <w:r w:rsidRPr="00EF5CBC">
              <w:rPr>
                <w:rFonts w:ascii="Tahoma" w:hAnsi="Tahoma" w:cs="Tahoma"/>
                <w:color w:val="000000"/>
                <w:sz w:val="20"/>
                <w:szCs w:val="20"/>
              </w:rPr>
              <w:t>formacion</w:t>
            </w:r>
            <w:proofErr w:type="spellEnd"/>
            <w:r w:rsidRPr="00EF5CBC">
              <w:rPr>
                <w:rFonts w:ascii="Tahoma" w:hAnsi="Tahoma" w:cs="Tahoma"/>
                <w:color w:val="000000"/>
                <w:sz w:val="20"/>
                <w:szCs w:val="20"/>
              </w:rPr>
              <w:t xml:space="preserve"> y se propone su adjudicación al órgano competente.</w:t>
            </w:r>
          </w:p>
        </w:tc>
      </w:tr>
      <w:tr w:rsidR="00EF5CBC" w:rsidRPr="00EF5CBC" w:rsidTr="00EF5CBC">
        <w:trPr>
          <w:trHeight w:val="1203"/>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En el caso de las de carácter ordinario y las unificadas del período mensual, comprobación aritmética que se realizará efectuando el cuadre total de la nómina, con el que resulte del mes anterior más la suma algebraica de las variaciones incluidas en la nómina del mes de que se trate.</w:t>
            </w:r>
          </w:p>
        </w:tc>
      </w:tr>
      <w:tr w:rsidR="00EF5CBC" w:rsidRPr="00EF5CBC" w:rsidTr="00EF5CBC">
        <w:trPr>
          <w:trHeight w:val="6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Justificación documental de las variaciones experimentadas por altas y bajas, con el siguiente alcance: </w:t>
            </w:r>
          </w:p>
        </w:tc>
      </w:tr>
      <w:tr w:rsidR="00EF5CBC" w:rsidRPr="00EF5CBC" w:rsidTr="00EF5CBC">
        <w:trPr>
          <w:trHeight w:val="3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Concejales: Copia del acta del Pleno por el que se toma posesión, o certificado correspondiente, y verificación de las retribuciones.</w:t>
            </w:r>
          </w:p>
        </w:tc>
      </w:tr>
      <w:tr w:rsidR="00EF5CBC" w:rsidRPr="00EF5CBC" w:rsidTr="00EF5CBC">
        <w:trPr>
          <w:trHeight w:val="3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Personal en régimen estatutario de nuevo ingreso: Acuerdo de nombramiento, diligencia de la correspondiente toma de posesión y verificación de que las retribuciones están de acuerdo con el grupo y puesto de trabajo.</w:t>
            </w:r>
          </w:p>
        </w:tc>
      </w:tr>
      <w:tr w:rsidR="00EF5CBC" w:rsidRPr="00EF5CBC" w:rsidTr="00EF5CBC">
        <w:trPr>
          <w:trHeight w:val="9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Personal laboral de nuevo ingreso: copia expediente de contratación sobre el que fue ejercida la fiscalización del gasto, y del contrato formalizado en todo caso.</w:t>
            </w:r>
          </w:p>
        </w:tc>
      </w:tr>
      <w:tr w:rsidR="00EF5CBC" w:rsidRPr="00EF5CBC" w:rsidTr="00EF5CBC">
        <w:trPr>
          <w:trHeight w:val="9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El resto de las obligaciones reflejadas en la nómina, así como los actos que las generen, se incluirán en el ámbito de las actuaciones propias del control financiero permanente.</w:t>
            </w:r>
          </w:p>
        </w:tc>
      </w:tr>
      <w:tr w:rsidR="00EF5CBC" w:rsidRPr="00EF5CBC" w:rsidTr="00EF5CBC">
        <w:trPr>
          <w:trHeight w:val="60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Cuota patronal a la SS: se adjuntaran los TC o la Relación Nominal de Trabajadores</w:t>
            </w:r>
          </w:p>
        </w:tc>
      </w:tr>
      <w:tr w:rsidR="00EF5CBC" w:rsidRPr="00EF5CBC" w:rsidTr="00EF5CBC">
        <w:trPr>
          <w:trHeight w:val="615"/>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Salarios de tramitación: sentencia o resolución por la que se obligue a abonar aquellos.</w:t>
            </w:r>
          </w:p>
        </w:tc>
      </w:tr>
      <w:tr w:rsidR="00EF5CBC" w:rsidRPr="00EF5CBC" w:rsidTr="00EF5CBC">
        <w:trPr>
          <w:trHeight w:val="546"/>
        </w:trPr>
        <w:tc>
          <w:tcPr>
            <w:tcW w:w="2930" w:type="dxa"/>
            <w:vMerge w:val="restart"/>
            <w:tcBorders>
              <w:top w:val="nil"/>
              <w:left w:val="single" w:sz="8" w:space="0" w:color="auto"/>
              <w:bottom w:val="single" w:sz="8" w:space="0" w:color="000000"/>
              <w:right w:val="single" w:sz="4" w:space="0" w:color="auto"/>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6. Decretos de reconocimiento de productividad, horas extras, gratificaciones y dietas o indemnizaciones.</w:t>
            </w: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Informe en el que se acredita que se cumplen los requisitos para su concesión.</w:t>
            </w:r>
          </w:p>
        </w:tc>
      </w:tr>
      <w:tr w:rsidR="00EF5CBC" w:rsidRPr="00EF5CBC" w:rsidTr="00EF5CBC">
        <w:trPr>
          <w:trHeight w:val="129"/>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70C0"/>
                <w:sz w:val="20"/>
                <w:szCs w:val="20"/>
              </w:rPr>
            </w:pPr>
          </w:p>
        </w:tc>
        <w:tc>
          <w:tcPr>
            <w:tcW w:w="685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En caso de productividad, horas extras y gratificaciones, acuerdo de aprobación por el órgano competente.</w:t>
            </w:r>
          </w:p>
        </w:tc>
      </w:tr>
      <w:tr w:rsidR="00EF5CBC" w:rsidRPr="00EF5CBC" w:rsidTr="00EF5CBC">
        <w:trPr>
          <w:trHeight w:val="300"/>
        </w:trPr>
        <w:tc>
          <w:tcPr>
            <w:tcW w:w="2930" w:type="dxa"/>
            <w:vMerge w:val="restart"/>
            <w:tcBorders>
              <w:top w:val="nil"/>
              <w:left w:val="single" w:sz="8" w:space="0" w:color="auto"/>
              <w:bottom w:val="single" w:sz="8" w:space="0" w:color="000000"/>
              <w:right w:val="single" w:sz="4" w:space="0" w:color="auto"/>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 xml:space="preserve">7. Concesión de anticipos al </w:t>
            </w:r>
            <w:r w:rsidRPr="00EF5CBC">
              <w:rPr>
                <w:rFonts w:ascii="Tahoma" w:hAnsi="Tahoma" w:cs="Tahoma"/>
                <w:color w:val="0070C0"/>
                <w:sz w:val="20"/>
                <w:szCs w:val="20"/>
              </w:rPr>
              <w:lastRenderedPageBreak/>
              <w:t>personal funcionario y laboral.</w:t>
            </w:r>
          </w:p>
        </w:tc>
        <w:tc>
          <w:tcPr>
            <w:tcW w:w="685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lastRenderedPageBreak/>
              <w:t>a) Solicitud del interesado acreditando las necesidades urgentes.</w:t>
            </w:r>
          </w:p>
        </w:tc>
      </w:tr>
      <w:tr w:rsidR="00EF5CBC" w:rsidRPr="00EF5CBC" w:rsidTr="00EF5CBC">
        <w:trPr>
          <w:trHeight w:val="1230"/>
        </w:trPr>
        <w:tc>
          <w:tcPr>
            <w:tcW w:w="2930" w:type="dxa"/>
            <w:vMerge/>
            <w:tcBorders>
              <w:top w:val="nil"/>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color w:val="000000"/>
                <w:sz w:val="20"/>
                <w:szCs w:val="20"/>
              </w:rPr>
            </w:pPr>
          </w:p>
        </w:tc>
        <w:tc>
          <w:tcPr>
            <w:tcW w:w="685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no existen anticipos pendientes de reintegro, el anticipo no excede del límite de dos pagas extras o mensualidades de haber líquido del Grupo A1. La devolución del anticipo se lleva a cabo en el plazo máximo de 10 o 14 mensualidades.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Contrato de obras.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781" w:type="dxa"/>
        <w:tblInd w:w="637" w:type="dxa"/>
        <w:tblCellMar>
          <w:left w:w="70" w:type="dxa"/>
          <w:right w:w="70" w:type="dxa"/>
        </w:tblCellMar>
        <w:tblLook w:val="04A0"/>
      </w:tblPr>
      <w:tblGrid>
        <w:gridCol w:w="3083"/>
        <w:gridCol w:w="6698"/>
      </w:tblGrid>
      <w:tr w:rsidR="00EF5CBC" w:rsidRPr="00EF5CBC" w:rsidTr="00EF5CBC">
        <w:trPr>
          <w:trHeight w:val="315"/>
        </w:trPr>
        <w:tc>
          <w:tcPr>
            <w:tcW w:w="308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698"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315"/>
        </w:trPr>
        <w:tc>
          <w:tcPr>
            <w:tcW w:w="3083" w:type="dxa"/>
            <w:tcBorders>
              <w:top w:val="nil"/>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OBRAS</w:t>
            </w:r>
          </w:p>
        </w:tc>
        <w:tc>
          <w:tcPr>
            <w:tcW w:w="6698"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15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1. Aprobación del gasto:</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Proyecto informado por los técnicos municipales. Cuando no exista informe de supervisión de proyectos y no resulte procedente por razón de la cuantía, que al expediente se incorpora pronunciamiento expreso de que las obras del proyecto no afectan a la seguridad, estabilidad o estanqueidad de la obra.</w:t>
            </w:r>
          </w:p>
        </w:tc>
      </w:tr>
      <w:tr w:rsidR="00EF5CBC" w:rsidRPr="00EF5CBC" w:rsidTr="00EF5CBC">
        <w:trPr>
          <w:trHeight w:val="132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Pliego de cláusulas administrativas particulares informado jurídicamente. </w:t>
            </w:r>
            <w:r w:rsidRPr="00EF5CBC">
              <w:rPr>
                <w:rFonts w:ascii="Tahoma" w:hAnsi="Tahoma" w:cs="Tahoma"/>
                <w:color w:val="0070C0"/>
                <w:sz w:val="20"/>
                <w:szCs w:val="20"/>
              </w:rPr>
              <w:t>Cuando se utilice modelo tipo de pliego de cláusulas administrativas, verificar que el contrato a celebrar es de naturaleza análoga al informado jurídicamente.</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acta de replanteo previo, y documentación acreditativa de la disponibilidad del terreno.</w:t>
            </w:r>
          </w:p>
        </w:tc>
      </w:tr>
      <w:tr w:rsidR="00EF5CBC" w:rsidRPr="00EF5CBC" w:rsidTr="00EF5CBC">
        <w:trPr>
          <w:trHeight w:val="3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exista una memoria de necesidad e idoneidad.</w:t>
            </w:r>
          </w:p>
        </w:tc>
      </w:tr>
      <w:tr w:rsidR="00EF5CBC" w:rsidRPr="00EF5CBC" w:rsidTr="00EF5CBC">
        <w:trPr>
          <w:trHeight w:val="2119"/>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Que el pliego de cláusulas administrativas particulares o el documento descriptivo establece, para la determinación de la mejor oferta, criterios vinculados al objeto del contrato; y que cuando se utilice un único criterio, éste esté relacionado con los costes; si el único criterio a considerar es el precio, se verificará que éste sea el del precio más bajo; y en los casos en que figuren una pluralidad de criterios de adjudicación basados en la mejor relación calidad-precio, que se establezcan con arreglo a criterios económicos y cualitativos.</w:t>
            </w:r>
          </w:p>
        </w:tc>
      </w:tr>
      <w:tr w:rsidR="00EF5CBC" w:rsidRPr="00EF5CBC" w:rsidTr="00EF5CBC">
        <w:trPr>
          <w:trHeight w:val="12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En los casos en que el procedimiento de adjudicación propuesto sea el de diálogo competitivo se verificará asimismo que en la selección de la mejor oferta se toma en consideración más de un criterio de adjudicación en base a la mejor relación calidad-precio.</w:t>
            </w:r>
          </w:p>
        </w:tc>
      </w:tr>
      <w:tr w:rsidR="00EF5CBC" w:rsidRPr="00EF5CBC" w:rsidTr="00EF5CBC">
        <w:trPr>
          <w:trHeight w:val="1119"/>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Cuando se prevea la utilización de varios criterios de adjudicación o de un único criterio distinto del precio, que el pliego de cláusulas administrativas particulares o el documento descriptivo establece los parámetros objetivos para identificar las ofertas anormalmente bajas.</w:t>
            </w:r>
          </w:p>
        </w:tc>
      </w:tr>
      <w:tr w:rsidR="00EF5CBC" w:rsidRPr="00EF5CBC" w:rsidTr="00EF5CBC">
        <w:trPr>
          <w:trHeight w:val="979"/>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g)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w:t>
            </w:r>
          </w:p>
        </w:tc>
      </w:tr>
      <w:tr w:rsidR="00EF5CBC" w:rsidRPr="00EF5CBC" w:rsidTr="00EF5CBC">
        <w:trPr>
          <w:trHeight w:val="1732"/>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Que el pliego de cláusulas administrativas particulares o el documento descriptivo establece al menos una de las condiciones especiales de ejecución que se enumeran en el artículo 202.2 de la Ley de Contratos del Sector Público y la obligación del adjudicatario de cumplir las condiciones salariales de los trabajadores conforme al Convenio colectivo sectorial de aplicación. </w:t>
            </w:r>
          </w:p>
        </w:tc>
      </w:tr>
      <w:tr w:rsidR="00EF5CBC" w:rsidRPr="00EF5CBC" w:rsidTr="00EF5CBC">
        <w:trPr>
          <w:trHeight w:val="21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i) Cuando se proponga como procedimiento de adjudicación el procedimiento abierto simplificado, comprobar que se cumplen las condiciones previstas en el artículo 159.1 de la Ley de Contratos del Sector Público. En caso de que este procedimiento se tramite según lo previsto en el artículo 159.6 de dicha Ley, se verificará que no se supera el valor estimado fijado en dicho apartado y que entre los criterios de adjudicación no hay ninguno evaluable mediante juicios de valor. </w:t>
            </w:r>
          </w:p>
        </w:tc>
      </w:tr>
      <w:tr w:rsidR="00EF5CBC" w:rsidRPr="00EF5CBC" w:rsidTr="00EF5CBC">
        <w:trPr>
          <w:trHeight w:val="981"/>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EF5CBC">
        <w:trPr>
          <w:trHeight w:val="18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k)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que en el documento descriptivo se fija la cuantía de las mismas y que consta la correspondiente retención de crédito.</w:t>
            </w:r>
          </w:p>
        </w:tc>
      </w:tr>
      <w:tr w:rsidR="00EF5CBC" w:rsidRPr="00EF5CBC" w:rsidTr="00EF5CBC">
        <w:trPr>
          <w:trHeight w:val="1587"/>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5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n) En su caso, certificado de la ejecutividad de los ingresos afectados que financian la inversión. </w:t>
            </w:r>
          </w:p>
        </w:tc>
      </w:tr>
      <w:tr w:rsidR="00EF5CBC" w:rsidRPr="00EF5CBC" w:rsidTr="00EF5CBC">
        <w:trPr>
          <w:trHeight w:val="156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o) Cuando se prevea en el pliego de clausulas administrativas particulares la utilización de  la subasta electrónica, verificar  que los criterios de adjudicación a que se refiere la misma se basan en modificaciones referidas al precio o requisitos cuantificables y susceptibles de ser expresados en cifras o porcentajes</w:t>
            </w:r>
          </w:p>
        </w:tc>
      </w:tr>
      <w:tr w:rsidR="00EF5CBC" w:rsidRPr="00EF5CBC" w:rsidTr="00EF5CBC">
        <w:trPr>
          <w:trHeight w:val="9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2. Compromiso del gasto: Adjudicación.</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Cuando no se adjudique el contrato de acuerdo con la propuesta formulada por la Mesa, que existe decisión motivada del órgano de contratación.</w:t>
            </w:r>
          </w:p>
        </w:tc>
      </w:tr>
      <w:tr w:rsidR="00EF5CBC" w:rsidRPr="00EF5CBC" w:rsidTr="00EF5CBC">
        <w:trPr>
          <w:trHeight w:val="12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Cuando se declare la existencia de ofertas incursas en presunción de anormalidad, que existe constancia de la solicitud de la información a los licitadores que las hubiesen presentado y del informe del servicio técnico correspondiente.</w:t>
            </w:r>
          </w:p>
        </w:tc>
      </w:tr>
      <w:tr w:rsidR="00EF5CBC" w:rsidRPr="00EF5CBC" w:rsidTr="00EF5CBC">
        <w:trPr>
          <w:trHeight w:val="15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Cuando se utilice el procedimiento negociado, que existe constancia en el expediente de las invitaciones cursadas, de las ofertas recibidas y de las razones para su aceptación o rechazo y de las ventajas obtenidas en la negociación, de conformidad con lo dispuesto en la Ley de Contratos del Sector Público.</w:t>
            </w:r>
          </w:p>
        </w:tc>
      </w:tr>
      <w:tr w:rsidR="00EF5CBC" w:rsidRPr="00EF5CBC" w:rsidTr="00EF5CBC">
        <w:trPr>
          <w:trHeight w:val="129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proponga la celebración de un contrato con precios provisionales de conformidad con el artículo 102.7 de la Ley de Contratos del Sector Público, que se detallan en la propuesta de adjudicación los extremos contenidos en las letras a), b) y c) del citado precepto. </w:t>
            </w:r>
          </w:p>
        </w:tc>
      </w:tr>
      <w:tr w:rsidR="00EF5CBC" w:rsidRPr="00EF5CBC" w:rsidTr="00EF5CBC">
        <w:trPr>
          <w:trHeight w:val="73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se acredita la constitución de la garantía definitiva, salvo en el caso previsto en el artículo 159.6 de la Ley de Contratos del Sector Público. </w:t>
            </w:r>
          </w:p>
        </w:tc>
      </w:tr>
      <w:tr w:rsidR="00EF5CBC" w:rsidRPr="00EF5CBC" w:rsidTr="00EF5CBC">
        <w:trPr>
          <w:trHeight w:val="426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 con las dos siguientes excepciones, en el procedimiento abierto simplificado tramitado conforme al artículo 159.4 de dicha Ley, en el que sólo se examinará que se ha aportado el compromiso al que se refiere el artículo 75.2 de la Ley y en el procedimiento abreviado tramitado conforme al artículo 159.6 de la Ley cuando se haya constituido la Mesa, en el que no procederá la aplicación de este extremo.</w:t>
            </w:r>
          </w:p>
        </w:tc>
      </w:tr>
      <w:tr w:rsidR="00EF5CBC" w:rsidRPr="00EF5CBC" w:rsidTr="00EF5CBC">
        <w:trPr>
          <w:trHeight w:val="2482"/>
        </w:trPr>
        <w:tc>
          <w:tcPr>
            <w:tcW w:w="3083"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3. Formalización:</w:t>
            </w:r>
          </w:p>
        </w:tc>
        <w:tc>
          <w:tcPr>
            <w:tcW w:w="6698"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 medida cautelar.</w:t>
            </w:r>
          </w:p>
        </w:tc>
      </w:tr>
      <w:tr w:rsidR="00EF5CBC" w:rsidRPr="00EF5CBC" w:rsidTr="00EF5CBC">
        <w:trPr>
          <w:trHeight w:val="15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4. Modificados:</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w:t>
            </w:r>
          </w:p>
        </w:tc>
      </w:tr>
      <w:tr w:rsidR="00EF5CBC" w:rsidRPr="00EF5CBC" w:rsidTr="00EF5CBC">
        <w:trPr>
          <w:trHeight w:val="15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w:t>
            </w:r>
          </w:p>
        </w:tc>
      </w:tr>
      <w:tr w:rsidR="00EF5CBC" w:rsidRPr="00EF5CBC" w:rsidTr="00EF5CBC">
        <w:trPr>
          <w:trHeight w:val="1376"/>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proyecto informado técnicos municipales. Cuando no exista informe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546"/>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informe del Servicio Jurídico y, en su caso, dictamen del Consejo de Estado o del Consejo Consultivo de Castilla-La Mancha.</w:t>
            </w:r>
          </w:p>
        </w:tc>
      </w:tr>
      <w:tr w:rsidR="00EF5CBC" w:rsidRPr="00EF5CBC" w:rsidTr="00EF5CBC">
        <w:trPr>
          <w:trHeight w:val="3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existe acta de replanteo previo.</w:t>
            </w:r>
          </w:p>
        </w:tc>
      </w:tr>
      <w:tr w:rsidR="00EF5CBC" w:rsidRPr="00EF5CBC" w:rsidTr="00EF5CBC">
        <w:trPr>
          <w:trHeight w:val="6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se ha dado audiencia al adjudicatario y, en su caso, que consta su conformidad.</w:t>
            </w:r>
          </w:p>
        </w:tc>
      </w:tr>
      <w:tr w:rsidR="00EF5CBC" w:rsidRPr="00EF5CBC" w:rsidTr="00EF5CBC">
        <w:trPr>
          <w:trHeight w:val="405"/>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obras.                            5. Precios contradictorios:</w:t>
            </w:r>
          </w:p>
          <w:p w:rsidR="00EF5CBC" w:rsidRPr="00EF5CBC" w:rsidRDefault="00EF5CBC" w:rsidP="00EF5CBC">
            <w:pPr>
              <w:ind w:left="567" w:right="567"/>
              <w:rPr>
                <w:rFonts w:ascii="Tahoma" w:hAnsi="Tahoma" w:cs="Tahoma"/>
                <w:color w:val="0070C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Propuesta del director facultativo de la obra.</w:t>
            </w:r>
          </w:p>
        </w:tc>
      </w:tr>
      <w:tr w:rsidR="00EF5CBC" w:rsidRPr="00EF5CBC" w:rsidTr="00EF5CBC">
        <w:trPr>
          <w:trHeight w:val="42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se ha dado audiencia al contratista.</w:t>
            </w:r>
          </w:p>
        </w:tc>
      </w:tr>
      <w:tr w:rsidR="00EF5CBC" w:rsidRPr="00EF5CBC" w:rsidTr="00EF5CBC">
        <w:trPr>
          <w:trHeight w:val="1800"/>
        </w:trPr>
        <w:tc>
          <w:tcPr>
            <w:tcW w:w="3083" w:type="dxa"/>
            <w:vMerge w:val="restart"/>
            <w:tcBorders>
              <w:top w:val="nil"/>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Contrato de obras.                            6. Revisión de precios: (aprobación del gasto): </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se cumplen los requisitos recogidos en el artículo 103.5 de la Ley de Contratos del Sector Público y que el pliego de cláusulas administrativas particulares establece la fórmula de revisión aplicable. En el caso de que para el contrato que se trate se haya aprobado una fórmula tipo, se verificará que no se incluye otra fórmula de revisión diferente en los pliegos.</w:t>
            </w:r>
          </w:p>
        </w:tc>
      </w:tr>
      <w:tr w:rsidR="00EF5CBC" w:rsidRPr="00EF5CBC" w:rsidTr="00EF5CBC">
        <w:trPr>
          <w:trHeight w:val="315"/>
        </w:trPr>
        <w:tc>
          <w:tcPr>
            <w:tcW w:w="3083" w:type="dxa"/>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Informe jurídico.</w:t>
            </w:r>
          </w:p>
        </w:tc>
      </w:tr>
      <w:tr w:rsidR="00EF5CBC" w:rsidRPr="00EF5CBC" w:rsidTr="00EF5CBC">
        <w:trPr>
          <w:trHeight w:val="675"/>
        </w:trPr>
        <w:tc>
          <w:tcPr>
            <w:tcW w:w="3083" w:type="dxa"/>
            <w:vMerge w:val="restart"/>
            <w:tcBorders>
              <w:top w:val="single" w:sz="8"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7. Certificaciones de obra:</w:t>
            </w:r>
          </w:p>
        </w:tc>
        <w:tc>
          <w:tcPr>
            <w:tcW w:w="6698" w:type="dxa"/>
            <w:tcBorders>
              <w:top w:val="single" w:sz="8"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certificación, autorizada por el facultativo Director de la obra y con la conformidad de los Servicios correspondientes del órgano gestor.</w:t>
            </w:r>
          </w:p>
        </w:tc>
      </w:tr>
      <w:tr w:rsidR="00EF5CBC" w:rsidRPr="00EF5CBC" w:rsidTr="00EF5CBC">
        <w:trPr>
          <w:trHeight w:val="1290"/>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En caso de efectuarse anticipos de los previstos en el artículo 240.2 de la Ley de Contratos del Sector Público, comprobar que tal posibilidad está contemplada en el pliego de cláusulas administrativas particulares y que se ha prestado la garantía exigida.</w:t>
            </w:r>
          </w:p>
        </w:tc>
      </w:tr>
      <w:tr w:rsidR="00EF5CBC" w:rsidRPr="00EF5CBC" w:rsidTr="00EF5CBC">
        <w:trPr>
          <w:trHeight w:val="1290"/>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la certificación de obra incluya revisión de precios, para su abono,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2430"/>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el importe acumulado de los abonos a cuenta vaya a ser igual o superior con motivo del siguiente pago al 90 por ciento del precio del contrato, incluidas, en su caso, las modificaciones aprobadas, que se acompaña, cuando resulte preceptiva, comunicación efectuada a la Intervención para la designación de un representante que asista a la recepción, en el ejercicio de las funciones de comprobación material de la inversión, conforme a lo señalado en el segundo párrafo del artículo 198.2 de la Ley de Contratos del Sector Público. </w:t>
            </w:r>
          </w:p>
        </w:tc>
      </w:tr>
      <w:tr w:rsidR="00EF5CBC" w:rsidRPr="00EF5CBC" w:rsidTr="00EF5CBC">
        <w:trPr>
          <w:trHeight w:val="1200"/>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En caso de efectuarse pagos directos a subcontratistas, comprobar que tal posibilidad está contemplada en el pliego de cláusulas administrativas particulares, conforme a la disposición adicional 51</w:t>
            </w:r>
            <w:proofErr w:type="gramStart"/>
            <w:r w:rsidRPr="00EF5CBC">
              <w:rPr>
                <w:rFonts w:ascii="Tahoma" w:hAnsi="Tahoma" w:cs="Tahoma"/>
                <w:color w:val="000000"/>
                <w:sz w:val="20"/>
                <w:szCs w:val="20"/>
              </w:rPr>
              <w:t>.ª</w:t>
            </w:r>
            <w:proofErr w:type="gramEnd"/>
            <w:r w:rsidRPr="00EF5CBC">
              <w:rPr>
                <w:rFonts w:ascii="Tahoma" w:hAnsi="Tahoma" w:cs="Tahoma"/>
                <w:color w:val="000000"/>
                <w:sz w:val="20"/>
                <w:szCs w:val="20"/>
              </w:rPr>
              <w:t xml:space="preserve"> de la Ley de Contratos del Sector Público.</w:t>
            </w:r>
          </w:p>
        </w:tc>
      </w:tr>
      <w:tr w:rsidR="00EF5CBC" w:rsidRPr="00EF5CBC" w:rsidTr="00EF5CBC">
        <w:trPr>
          <w:trHeight w:val="1320"/>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Con la primera certificación se comprobará la firma del contrato, que se ha levantado acta de comprobación de replanteo, que se ha dado aviso a la Autoridad Laboral de la apertura de un nuevo Centro de Trabajo y que se ha aprobado el Plan de Seguridad y Salud.</w:t>
            </w:r>
          </w:p>
        </w:tc>
      </w:tr>
      <w:tr w:rsidR="00EF5CBC" w:rsidRPr="00EF5CBC" w:rsidTr="00EF5CBC">
        <w:trPr>
          <w:trHeight w:val="615"/>
        </w:trPr>
        <w:tc>
          <w:tcPr>
            <w:tcW w:w="3083"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g) Que las facturas expedidas por la empresa adjudicataria son conformes a la normativa vigente.</w:t>
            </w:r>
          </w:p>
        </w:tc>
      </w:tr>
      <w:tr w:rsidR="00EF5CBC" w:rsidRPr="00EF5CBC" w:rsidTr="00EF5CBC">
        <w:trPr>
          <w:trHeight w:val="6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8. Certificación final:</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certificación final, autorizada por el facultativo Director de la obra. </w:t>
            </w:r>
          </w:p>
        </w:tc>
      </w:tr>
      <w:tr w:rsidR="00EF5CBC" w:rsidRPr="00EF5CBC" w:rsidTr="00EF5CBC">
        <w:trPr>
          <w:trHeight w:val="154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se acompaña acta de conformidad de la recepción de la obra o, en su caso, acta de comprobación a la que se refiere el artículo 168 del Reglamento General de la Ley de Contratos de las Administraciones Públicas o acta de comprobación y medición a la que se refiere el artículo 246.1 de la Ley de Contratos del Sector Público. </w:t>
            </w:r>
          </w:p>
        </w:tc>
      </w:tr>
      <w:tr w:rsidR="00EF5CBC" w:rsidRPr="00EF5CBC" w:rsidTr="00EF5CBC">
        <w:trPr>
          <w:trHeight w:val="130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incluya revisión de precios, para su abono,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6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se aporta factura por la empresa adjudicataria y que </w:t>
            </w:r>
            <w:proofErr w:type="spellStart"/>
            <w:r w:rsidRPr="00EF5CBC">
              <w:rPr>
                <w:rFonts w:ascii="Tahoma" w:hAnsi="Tahoma" w:cs="Tahoma"/>
                <w:color w:val="000000"/>
                <w:sz w:val="20"/>
                <w:szCs w:val="20"/>
              </w:rPr>
              <w:t>e</w:t>
            </w:r>
            <w:proofErr w:type="spellEnd"/>
            <w:r w:rsidRPr="00EF5CBC">
              <w:rPr>
                <w:rFonts w:ascii="Tahoma" w:hAnsi="Tahoma" w:cs="Tahoma"/>
                <w:color w:val="000000"/>
                <w:sz w:val="20"/>
                <w:szCs w:val="20"/>
              </w:rPr>
              <w:t xml:space="preserve"> conforme a la normativa vigente.</w:t>
            </w:r>
          </w:p>
        </w:tc>
      </w:tr>
      <w:tr w:rsidR="00EF5CBC" w:rsidRPr="00EF5CBC" w:rsidTr="00EF5CBC">
        <w:trPr>
          <w:trHeight w:val="3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9. Liquidación:</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Informe favorable del Director facultativo de la obra.</w:t>
            </w:r>
          </w:p>
        </w:tc>
      </w:tr>
      <w:tr w:rsidR="00EF5CBC" w:rsidRPr="00EF5CBC" w:rsidTr="00EF5CBC">
        <w:trPr>
          <w:trHeight w:val="276"/>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Proyecto de liquidación informado por los técnicos municipales.</w:t>
            </w:r>
          </w:p>
        </w:tc>
      </w:tr>
      <w:tr w:rsidR="00EF5CBC" w:rsidRPr="00EF5CBC" w:rsidTr="00EF5CBC">
        <w:trPr>
          <w:trHeight w:val="536"/>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Factura expedida por la empresa adjudicataria conforme a la normativa vigente.</w:t>
            </w:r>
          </w:p>
        </w:tc>
      </w:tr>
      <w:tr w:rsidR="00EF5CBC" w:rsidRPr="00EF5CBC" w:rsidTr="00EF5CBC">
        <w:trPr>
          <w:trHeight w:val="3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10. Pago de intereses de demora, indemnizaciones por costes de cobro y otras indemnizaciones a favor del contratista:</w:t>
            </w:r>
          </w:p>
        </w:tc>
        <w:tc>
          <w:tcPr>
            <w:tcW w:w="6698"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Informe Jurídico e Informe del responsable municipal de la obra.</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En su caso, Dictamen del Consejo de Estado o del Consejo Consultivo de Castilla-La Mancha.</w:t>
            </w:r>
          </w:p>
        </w:tc>
      </w:tr>
      <w:tr w:rsidR="00EF5CBC" w:rsidRPr="00EF5CBC" w:rsidTr="00EF5CBC">
        <w:trPr>
          <w:trHeight w:val="3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existe una cuantificación de los importes y conceptos.</w:t>
            </w:r>
          </w:p>
        </w:tc>
      </w:tr>
      <w:tr w:rsidR="00EF5CBC" w:rsidRPr="00EF5CBC" w:rsidTr="00EF5CBC">
        <w:trPr>
          <w:trHeight w:val="3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obras.                        11. Resolución del contrato.</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Informe jurídico.</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se acredite la audiencia la contratista y, en su caso, la conformidad del contratista.</w:t>
            </w:r>
          </w:p>
        </w:tc>
      </w:tr>
      <w:tr w:rsidR="00EF5CBC" w:rsidRPr="00EF5CBC" w:rsidTr="00EF5CBC">
        <w:trPr>
          <w:trHeight w:val="3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t>c) Liquidación correspondiente.</w:t>
            </w:r>
          </w:p>
        </w:tc>
      </w:tr>
      <w:tr w:rsidR="00EF5CBC" w:rsidRPr="00EF5CBC" w:rsidTr="00EF5CBC">
        <w:trPr>
          <w:trHeight w:val="6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En caso de oposición, Dictamen del Consejo de Estado o del Consejo Consultivo de Castilla-La Mancha.</w:t>
            </w:r>
          </w:p>
        </w:tc>
      </w:tr>
      <w:tr w:rsidR="00EF5CBC" w:rsidRPr="00EF5CBC" w:rsidTr="00EF5CBC">
        <w:trPr>
          <w:trHeight w:val="6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lastRenderedPageBreak/>
              <w:t>Contrato de obras.                           12. Devolución de garantía o cancelación de aval:</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t>a) Informe del servicio sobre su conformidad y transcurso del plazo de garantía.</w:t>
            </w:r>
          </w:p>
        </w:tc>
      </w:tr>
      <w:tr w:rsidR="00EF5CBC" w:rsidRPr="00EF5CBC" w:rsidTr="00EF5CBC">
        <w:trPr>
          <w:trHeight w:val="3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76923C" w:themeColor="accent3" w:themeShade="BF"/>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t>b) Propuesta de acuerdo del órgano competente.</w:t>
            </w:r>
          </w:p>
        </w:tc>
      </w:tr>
      <w:tr w:rsidR="00EF5CBC" w:rsidRPr="00EF5CBC" w:rsidTr="00EF5CBC">
        <w:trPr>
          <w:trHeight w:val="61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76923C" w:themeColor="accent3" w:themeShade="BF"/>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t>c) Informe de Tesorería sobre la existencia del aval/fianza y sobre si ya se ha procedido o no a su devolución.</w:t>
            </w:r>
          </w:p>
        </w:tc>
      </w:tr>
      <w:tr w:rsidR="00EF5CBC" w:rsidRPr="00EF5CBC" w:rsidTr="00EF5CBC">
        <w:trPr>
          <w:trHeight w:val="6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13. Contratación conjunta de proyecto y obra.                              1. Caso general:                              A) Aprobación y compromiso de gasto: De acuerdo con el artículo 234 de la Ley de Contratos del Sector Público la fiscalización se pospone al momento inmediato anterior a la adjudicación, debiendo comprobarse como extremos:                                      A.1) Adjudicación:</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se aporta justificación sobre su utilización de conformidad con el artículo 234.1 de la Ley de Contratos del Sector Público. </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anteproyecto o, en su caso, bases técnicas a que el proyecto deba ajustarse.</w:t>
            </w:r>
          </w:p>
        </w:tc>
      </w:tr>
      <w:tr w:rsidR="00EF5CBC" w:rsidRPr="00EF5CBC" w:rsidTr="00EF5CBC">
        <w:trPr>
          <w:trHeight w:val="6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existe pliego de cláusulas administrativas particulares o, en su caso, documento descriptivo, informado por el Servicio Jurídico. </w:t>
            </w:r>
          </w:p>
        </w:tc>
      </w:tr>
      <w:tr w:rsidR="00EF5CBC" w:rsidRPr="00EF5CBC" w:rsidTr="00EF5CBC">
        <w:trPr>
          <w:trHeight w:val="9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utilice modelo de pliego de cláusulas administrativas, verificar que el contrato a celebrar es de naturaleza análoga al informado por el Servicio Jurídico. </w:t>
            </w:r>
          </w:p>
        </w:tc>
      </w:tr>
      <w:tr w:rsidR="00EF5CBC" w:rsidRPr="00EF5CBC" w:rsidTr="00EF5CBC">
        <w:trPr>
          <w:trHeight w:val="4005"/>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el pliego de cláusulas administrativas particulares o el documento descriptivo establece, para la determinación de la mejor oferta, criterios vinculados al objeto del contrato; que cuando se utilice un único criterio, éste esté relacionado con los costes, de acuerdo con el artículo 146.1 de la Ley de Contratos del Sector Público; si el único criterio a considerar es el precio, se verificará que éste sea el del precio más bajo; y en los casos en que figuren una pluralidad de criterios de adjudicación basados en la mejor relación calidad-precio, que se establezcan con arreglo a criterios económicos y cualitativos. En los casos en que el procedimiento de adjudicación propuesto sea el del diálogo competitivo se verificará asimismo que en la selección de la mejor oferta se toma en consideración más de un criterio de adjudicación en base a la mejor relación calidad-precio. </w:t>
            </w:r>
          </w:p>
        </w:tc>
      </w:tr>
      <w:tr w:rsidR="00EF5CBC" w:rsidRPr="00EF5CBC" w:rsidTr="00EF5CBC">
        <w:trPr>
          <w:trHeight w:val="108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Cuando se prevea la utilización de varios criterios de adjudicación o de un único criterio distinto del precio, que el pliego de cláusulas administrativas particulares o el documento descriptivo establece los parámetros objetivos para identificar las ofertas anormalmente bajas. </w:t>
            </w:r>
          </w:p>
        </w:tc>
      </w:tr>
      <w:tr w:rsidR="00EF5CBC" w:rsidRPr="00EF5CBC" w:rsidTr="00EF5CBC">
        <w:trPr>
          <w:trHeight w:val="827"/>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g)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EF5CBC">
        <w:trPr>
          <w:trHeight w:val="158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Que el pliego de cláusulas administrativas particulares o el documento descriptivo establece al menos una de las condiciones especiales de ejecución que se enumeran en el artículo 202.2 de la Ley de Contratos del Sector Público y la obligación del adjudicatario de cumplir las condiciones salariales de los trabajadores conforme al Convenio colectivo sectorial de aplicación. </w:t>
            </w:r>
          </w:p>
        </w:tc>
      </w:tr>
      <w:tr w:rsidR="00EF5CBC" w:rsidRPr="00EF5CBC" w:rsidTr="00EF5CBC">
        <w:trPr>
          <w:trHeight w:val="937"/>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i) Cuando se proponga como procedimiento de adjudicación un procedimiento con negociación, comprobar que concurre alguno de los supuestos previstos en los artículos 167 o 168 de la Ley de Contratos del Sector Público para utilizar dicho procedimiento.</w:t>
            </w:r>
          </w:p>
        </w:tc>
      </w:tr>
      <w:tr w:rsidR="00EF5CBC" w:rsidRPr="00EF5CBC" w:rsidTr="00EF5CBC">
        <w:trPr>
          <w:trHeight w:val="18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que en el documento descriptivo se fija la cuantía de las mismas y que consta la correspondiente retención de crédito. </w:t>
            </w:r>
          </w:p>
        </w:tc>
      </w:tr>
      <w:tr w:rsidR="00EF5CBC" w:rsidRPr="00EF5CBC" w:rsidTr="00EF5CBC">
        <w:trPr>
          <w:trHeight w:val="18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k)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5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747"/>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no se adjudique el contrato de acuerdo con la propuesta formulada por la Mesa, que existe decisión motivada del órgano de contratación al respecto. </w:t>
            </w:r>
          </w:p>
        </w:tc>
      </w:tr>
      <w:tr w:rsidR="00EF5CBC" w:rsidRPr="00EF5CBC" w:rsidTr="00EF5CBC">
        <w:trPr>
          <w:trHeight w:val="11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n)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EF5CBC">
        <w:trPr>
          <w:trHeight w:val="1302"/>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o)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EF5CBC">
        <w:trPr>
          <w:trHeight w:val="1081"/>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p) Cuando se proponga la celebración de un contrato con precios provisionales de conformidad con el artículo 102.7 de la Ley de Contratos del Sector Público, que se detallan en la propuesta de adjudicación los extremos contenidos en las letras a), b) y c) del citado precepto. </w:t>
            </w:r>
          </w:p>
        </w:tc>
      </w:tr>
      <w:tr w:rsidR="00EF5CBC" w:rsidRPr="00EF5CBC" w:rsidTr="00EF5CBC">
        <w:trPr>
          <w:trHeight w:val="3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q) Que, en su caso, se acredita la constitución de la garantía definitiva. </w:t>
            </w:r>
          </w:p>
        </w:tc>
      </w:tr>
      <w:tr w:rsidR="00EF5CBC" w:rsidRPr="00EF5CBC" w:rsidTr="00EF5CBC">
        <w:trPr>
          <w:trHeight w:val="2382"/>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r)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 </w:t>
            </w:r>
          </w:p>
        </w:tc>
      </w:tr>
      <w:tr w:rsidR="00EF5CBC" w:rsidRPr="00EF5CBC" w:rsidTr="00EF5CBC">
        <w:trPr>
          <w:trHeight w:val="3804"/>
        </w:trPr>
        <w:tc>
          <w:tcPr>
            <w:tcW w:w="3083"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12. Contratación conjunta de proyecto y obra.                              1. Caso general:                              A) Aprobación y compromiso de gasto: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De acuerdo con el artículo 234 de la Ley de Contratos del Sector Público la fiscalización se pospone al momento inmediato anterior a la adjudicación, debiendo comprobarse como extremos:                                      A.2) Formalización:</w:t>
            </w:r>
          </w:p>
        </w:tc>
        <w:tc>
          <w:tcPr>
            <w:tcW w:w="6698"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 medida cautelar. </w:t>
            </w:r>
          </w:p>
        </w:tc>
      </w:tr>
      <w:tr w:rsidR="00EF5CBC" w:rsidRPr="00EF5CBC" w:rsidTr="00EF5CBC">
        <w:trPr>
          <w:trHeight w:val="900"/>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12. Contratación conjunta de proyecto y obra.                              1. Caso general:                              B) Certificaciones de obra: Cuando se fiscalice la primera certificación, junto con los extremos previstos en el apartado 7.6. </w:t>
            </w:r>
            <w:r w:rsidRPr="00EF5CBC">
              <w:rPr>
                <w:rFonts w:ascii="Tahoma" w:hAnsi="Tahoma" w:cs="Tahoma"/>
                <w:color w:val="000000"/>
                <w:sz w:val="20"/>
                <w:szCs w:val="20"/>
              </w:rPr>
              <w:lastRenderedPageBreak/>
              <w:t xml:space="preserve">deberá comprobarse:                        </w:t>
            </w:r>
          </w:p>
        </w:tc>
        <w:tc>
          <w:tcPr>
            <w:tcW w:w="6698"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lastRenderedPageBreak/>
              <w:t xml:space="preserve">a) Que existe proyecto informado por los técnicos municipales y/o por la Oficina de Supervisión de Proyectos y aprobado por el órgano de contratación. </w:t>
            </w:r>
          </w:p>
        </w:tc>
      </w:tr>
      <w:tr w:rsidR="00EF5CBC" w:rsidRPr="00EF5CBC" w:rsidTr="00EF5CBC">
        <w:trPr>
          <w:trHeight w:val="1631"/>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acta de replanteo previo. </w:t>
            </w:r>
          </w:p>
        </w:tc>
      </w:tr>
      <w:tr w:rsidR="00EF5CBC" w:rsidRPr="00EF5CBC" w:rsidTr="00EF5CBC">
        <w:trPr>
          <w:trHeight w:val="2958"/>
        </w:trPr>
        <w:tc>
          <w:tcPr>
            <w:tcW w:w="3083"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12. Contratación conjunta de proyecto y obra.                              2. Cuando, en el caso del artículo 234.5 de la Ley de Contratos del Sector Público, no sea posible establecer el importe estimativo de la realización de obras:                                   A) Aprobación y compromiso del gasto:</w:t>
            </w:r>
          </w:p>
        </w:tc>
        <w:tc>
          <w:tcPr>
            <w:tcW w:w="6698"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el momento inmediatamente anterior a la adjudicación del contrato deberán ser objeto de comprobación los extremos previstos en relación con la aprobación y compromiso del gasto para el caso general de contratación conjunta de proyecto y obra, a excepción de la existencia de crédito presupuestario adecuado y suficiente en relación con el gasto derivado de la ejecución de las obras. </w:t>
            </w:r>
          </w:p>
        </w:tc>
      </w:tr>
      <w:tr w:rsidR="00EF5CBC" w:rsidRPr="00EF5CBC" w:rsidTr="00EF5CBC">
        <w:trPr>
          <w:trHeight w:val="4087"/>
        </w:trPr>
        <w:tc>
          <w:tcPr>
            <w:tcW w:w="308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12. Contratación conjunta de proyecto y obra.                              2. Cuando, en el caso del artículo 234.5 de la Ley de Contratos del Sector Público, no sea posible establecer el importe estimativo de la realización de obras:                                B) Previamente a la aprobación del expediente de gasto correspondiente a la ejecución de obras, que de acuerdo con el artículo 234.5 de la Ley de Contratos del Sector Público es posterior a la adjudicación del contrato, serán objeto de comprobación los siguientes extremos:</w:t>
            </w:r>
          </w:p>
        </w:tc>
        <w:tc>
          <w:tcPr>
            <w:tcW w:w="6698"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Los previstos en la Regla cinco en relación con dicho expediente de gasto. </w:t>
            </w:r>
          </w:p>
        </w:tc>
      </w:tr>
      <w:tr w:rsidR="00EF5CBC" w:rsidRPr="00EF5CBC" w:rsidTr="00EF5CBC">
        <w:trPr>
          <w:trHeight w:val="9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proyecto informado por los técnicos y aprobado por el órgano de contratación. </w:t>
            </w:r>
          </w:p>
        </w:tc>
      </w:tr>
      <w:tr w:rsidR="00EF5CBC" w:rsidRPr="00EF5CBC" w:rsidTr="00EF5CBC">
        <w:trPr>
          <w:trHeight w:val="500"/>
        </w:trPr>
        <w:tc>
          <w:tcPr>
            <w:tcW w:w="308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98"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existe acta de replanteo previo. </w:t>
            </w:r>
          </w:p>
        </w:tc>
      </w:tr>
      <w:tr w:rsidR="00EF5CBC" w:rsidRPr="00EF5CBC" w:rsidTr="00EF5CBC">
        <w:trPr>
          <w:trHeight w:val="2415"/>
        </w:trPr>
        <w:tc>
          <w:tcPr>
            <w:tcW w:w="3083"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 xml:space="preserve">12. Contratación conjunta de proyecto y obra.                               3. Supuestos específicos de liquidación del proyecto:                      </w:t>
            </w:r>
          </w:p>
        </w:tc>
        <w:tc>
          <w:tcPr>
            <w:tcW w:w="6698"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En aquellos supuestos en los que, conforme a lo previsto en el artículo 234.3 de la Ley de Contratos del Sector Público, el órgano de contratación y el contratista no llegaran a un acuerdo sobre los precios, o conforme al artículo 234.5 de la Ley de Contratos del Sector Público, la Administración renunciara a la ejecución de la obra, los extremos a comprobar en la liquidación de los trabajos de redacción de los correspondientes proyectos serán los del apartado cuarto 1.5 relativos a la liquidación de los contratos de servicios.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Contratos de Suministros.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236" w:type="dxa"/>
        <w:tblInd w:w="637" w:type="dxa"/>
        <w:tblCellMar>
          <w:left w:w="70" w:type="dxa"/>
          <w:right w:w="70" w:type="dxa"/>
        </w:tblCellMar>
        <w:tblLook w:val="04A0"/>
      </w:tblPr>
      <w:tblGrid>
        <w:gridCol w:w="2796"/>
        <w:gridCol w:w="122"/>
        <w:gridCol w:w="6686"/>
        <w:gridCol w:w="215"/>
      </w:tblGrid>
      <w:tr w:rsidR="00EF5CBC" w:rsidRPr="00EF5CBC" w:rsidTr="00EF5CBC">
        <w:trPr>
          <w:trHeight w:val="315"/>
        </w:trPr>
        <w:tc>
          <w:tcPr>
            <w:tcW w:w="2335"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901" w:type="dxa"/>
            <w:gridSpan w:val="2"/>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315"/>
        </w:trPr>
        <w:tc>
          <w:tcPr>
            <w:tcW w:w="2335" w:type="dxa"/>
            <w:gridSpan w:val="2"/>
            <w:tcBorders>
              <w:top w:val="nil"/>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SUMINISTROS</w:t>
            </w:r>
          </w:p>
        </w:tc>
        <w:tc>
          <w:tcPr>
            <w:tcW w:w="6901" w:type="dxa"/>
            <w:gridSpan w:val="2"/>
            <w:tcBorders>
              <w:top w:val="nil"/>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492"/>
        </w:trPr>
        <w:tc>
          <w:tcPr>
            <w:tcW w:w="2335" w:type="dxa"/>
            <w:gridSpan w:val="2"/>
            <w:vMerge w:val="restart"/>
            <w:tcBorders>
              <w:top w:val="nil"/>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1. Aprobación del gasto:</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pliego de cláusulas administrativas particulares o, en su caso, documento descriptivo, informado por el Servicio Jurídico. </w:t>
            </w:r>
          </w:p>
        </w:tc>
      </w:tr>
      <w:tr w:rsidR="00EF5CBC" w:rsidRPr="00EF5CBC" w:rsidTr="00EF5CBC">
        <w:trPr>
          <w:trHeight w:val="563"/>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pliego de prescripciones técnicas del suministro o, en su caso, documento descriptivo. </w:t>
            </w:r>
          </w:p>
        </w:tc>
      </w:tr>
      <w:tr w:rsidR="00EF5CBC" w:rsidRPr="00EF5CBC" w:rsidTr="00EF5CBC">
        <w:trPr>
          <w:trHeight w:val="811"/>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modelo tipo de pliego de cláusulas administrativas, verificar que el contrato a celebrar es de naturaleza análoga al informado por el Servicio Jurídico. </w:t>
            </w:r>
          </w:p>
        </w:tc>
      </w:tr>
      <w:tr w:rsidR="00EF5CBC" w:rsidRPr="00EF5CBC" w:rsidTr="00EF5CBC">
        <w:trPr>
          <w:trHeight w:val="2326"/>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el pliego de cláusulas administrativas particulares o el documento descriptivo establece, para la determinación de la mejor oferta, criterios vinculados al objeto del contrato; que cuando se utilice un único criterio, éste esté relacionado con los costes, de acuerdo con el artículo 146.1 de la Ley de Contratos del Sector Público; si el único criterio a considerar es el precio, se verificará que éste sea el del precio más bajo; y en los casos en que figuren una pluralidad de criterios de adjudicación basados en la mejor relación calidad-precio, que se establezcan con arreglo a criterios económicos y cualitativos. </w:t>
            </w:r>
          </w:p>
        </w:tc>
      </w:tr>
      <w:tr w:rsidR="00EF5CBC" w:rsidRPr="00EF5CBC" w:rsidTr="00EF5CBC">
        <w:trPr>
          <w:trHeight w:val="1127"/>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los casos en que el procedimiento de adjudicación propuesto sea el del diálogo competitivo se verificará asimismo que en la selección de la mejor oferta se toma en consideración más de un criterio de adjudicación en base a la mejor relación calidad-precio. </w:t>
            </w:r>
          </w:p>
        </w:tc>
      </w:tr>
      <w:tr w:rsidR="00EF5CBC" w:rsidRPr="00EF5CBC" w:rsidTr="00EF5CBC">
        <w:trPr>
          <w:trHeight w:val="1059"/>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Cuando se prevea la utilización de varios criterios de adjudicación o de un único criterio distinto del precio, que el pliego de cláusulas administrativas particulares o el documento descriptivo establece los parámetros objetivos para identificar las ofertas anormalmente bajas. </w:t>
            </w:r>
          </w:p>
        </w:tc>
      </w:tr>
      <w:tr w:rsidR="00EF5CBC" w:rsidRPr="00EF5CBC" w:rsidTr="00EF5CBC">
        <w:trPr>
          <w:trHeight w:val="1500"/>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EF5CBC">
        <w:trPr>
          <w:trHeight w:val="1555"/>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g) Que el pliego de cláusulas administrativas particulares o el documento descriptivo establece al menos una de las condiciones especiales de ejecución que se enumeran en el artículo 202.2 de la Ley de Contratos del Sector Público y la obligación del adjudicatario de cumplir las condiciones salariales de los trabajadores conforme al Convenio colectivo sectorial de aplicación.</w:t>
            </w:r>
          </w:p>
        </w:tc>
      </w:tr>
      <w:tr w:rsidR="00EF5CBC" w:rsidRPr="00EF5CBC" w:rsidTr="00EF5CBC">
        <w:trPr>
          <w:trHeight w:val="1200"/>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Cuando se proponga como procedimiento de adjudicación el procedimiento abierto simplificado, comprobar que se cumplen las condiciones previstas en el artículo 159.1 de la Ley de Contratos del Sector Público. </w:t>
            </w:r>
          </w:p>
        </w:tc>
      </w:tr>
      <w:tr w:rsidR="00EF5CBC" w:rsidRPr="00EF5CBC" w:rsidTr="00EF5CBC">
        <w:trPr>
          <w:trHeight w:val="1013"/>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caso de que este procedimiento se tramite según lo previsto en el artículo 159.6 de dicha Ley, se verificará que no se supera el valor estimado fijado en dicho apartado y que entre los criterios de adjudicación no hay ninguno evaluable mediante juicios de valor. </w:t>
            </w:r>
          </w:p>
        </w:tc>
      </w:tr>
      <w:tr w:rsidR="00EF5CBC" w:rsidRPr="00EF5CBC" w:rsidTr="00EF5CBC">
        <w:trPr>
          <w:trHeight w:val="1085"/>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i)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EF5CBC">
        <w:trPr>
          <w:trHeight w:val="763"/>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Que la duración del contrato prevista en el pliego de cláusulas administrativas particulares o el documento descriptivo se ajusta a lo previsto en la Ley de Contratos del Sector Público. </w:t>
            </w:r>
          </w:p>
        </w:tc>
      </w:tr>
      <w:tr w:rsidR="00EF5CBC" w:rsidRPr="00EF5CBC" w:rsidTr="00EF5CBC">
        <w:trPr>
          <w:trHeight w:val="1800"/>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k)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que en el documento descriptivo se fija la cuantía de las mismas y que consta la correspondiente retención de crédito. </w:t>
            </w:r>
          </w:p>
        </w:tc>
      </w:tr>
      <w:tr w:rsidR="00EF5CBC" w:rsidRPr="00EF5CBC" w:rsidTr="00EF5CBC">
        <w:trPr>
          <w:trHeight w:val="1208"/>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302"/>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528"/>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n) Que existe memoria de necesidad e idoneidad, y que existe estudio económico.</w:t>
            </w:r>
          </w:p>
        </w:tc>
      </w:tr>
      <w:tr w:rsidR="00EF5CBC" w:rsidRPr="00EF5CBC" w:rsidTr="00EF5CBC">
        <w:trPr>
          <w:trHeight w:val="125"/>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p>
        </w:tc>
      </w:tr>
      <w:tr w:rsidR="00EF5CBC" w:rsidRPr="00EF5CBC" w:rsidTr="00EF5CBC">
        <w:trPr>
          <w:trHeight w:val="831"/>
        </w:trPr>
        <w:tc>
          <w:tcPr>
            <w:tcW w:w="2335" w:type="dxa"/>
            <w:gridSpan w:val="2"/>
            <w:vMerge w:val="restart"/>
            <w:tcBorders>
              <w:top w:val="single" w:sz="8"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2. Compromiso de gasto: Adjudicación.</w:t>
            </w:r>
          </w:p>
        </w:tc>
        <w:tc>
          <w:tcPr>
            <w:tcW w:w="6901" w:type="dxa"/>
            <w:gridSpan w:val="2"/>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Cuando no se adjudique el contrato de acuerdo con la propuesta formulada por la Mesa, que existe decisión motivada del órgano de contratación.</w:t>
            </w:r>
          </w:p>
        </w:tc>
      </w:tr>
      <w:tr w:rsidR="00EF5CBC" w:rsidRPr="00EF5CBC" w:rsidTr="00EF5CBC">
        <w:trPr>
          <w:trHeight w:val="120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EF5CBC">
        <w:trPr>
          <w:trHeight w:val="150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EF5CBC">
        <w:trPr>
          <w:trHeight w:val="123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proponga la celebración de un contrato con precios provisionales de conformidad con el artículo 102.7 de la Ley de Contratos del Sector Público, que se detallan en la propuesta de adjudicación los extremos contenidos en las letras a), b) y c) del citado precepto. </w:t>
            </w:r>
          </w:p>
        </w:tc>
      </w:tr>
      <w:tr w:rsidR="00EF5CBC" w:rsidRPr="00EF5CBC" w:rsidTr="00EF5CBC">
        <w:trPr>
          <w:trHeight w:val="30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Acreditación de la constitución de la garantía definitiva, en su caso. </w:t>
            </w:r>
          </w:p>
        </w:tc>
      </w:tr>
      <w:tr w:rsidR="00EF5CBC" w:rsidRPr="00EF5CBC" w:rsidTr="00EF5CBC">
        <w:trPr>
          <w:trHeight w:val="4515"/>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 con las dos siguientes excepciones, en el procedimiento abierto simplificado tramitado conforme al artículo 159.4 de dicha Ley, en el que sólo se examinará que se ha aportado el compromiso al que se refiere el artículo 75.2 de la Ley y en el procedimiento abreviado tramitado conforme al artículo 159.6 de la Ley cuando se haya constituido la Mesa, en el que no procederá la aplicación de este extremo.</w:t>
            </w:r>
          </w:p>
        </w:tc>
      </w:tr>
      <w:tr w:rsidR="00EF5CBC" w:rsidRPr="00EF5CBC" w:rsidTr="00EF5CBC">
        <w:trPr>
          <w:trHeight w:val="2775"/>
        </w:trPr>
        <w:tc>
          <w:tcPr>
            <w:tcW w:w="2335" w:type="dxa"/>
            <w:gridSpan w:val="2"/>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3. Formalización:</w:t>
            </w: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las medidas cautelares.</w:t>
            </w:r>
          </w:p>
        </w:tc>
      </w:tr>
      <w:tr w:rsidR="00EF5CBC" w:rsidRPr="00EF5CBC" w:rsidTr="00EF5CBC">
        <w:trPr>
          <w:trHeight w:val="2115"/>
        </w:trPr>
        <w:tc>
          <w:tcPr>
            <w:tcW w:w="2335" w:type="dxa"/>
            <w:gridSpan w:val="2"/>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4. Revisión de precios (aprobación del gasto):</w:t>
            </w: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Que, en los contratos en los que pueda preverse la revisión de precios, se cumplen los requisitos recogidos en el artículo 103.5 de la Ley de Contratos del Sector Público y que el pliego de cláusulas administrativas particulares establece la fórmula de revisión aplicable. En el caso de que para el contrato que se trate se haya aprobado una fórmula tipo, se verificará que no se incluye otra fórmula de revisión diferente en los pliegos.</w:t>
            </w:r>
          </w:p>
        </w:tc>
      </w:tr>
      <w:tr w:rsidR="00EF5CBC" w:rsidRPr="00EF5CBC" w:rsidTr="00EF5CBC">
        <w:trPr>
          <w:trHeight w:val="2385"/>
        </w:trPr>
        <w:tc>
          <w:tcPr>
            <w:tcW w:w="2335" w:type="dxa"/>
            <w:gridSpan w:val="2"/>
            <w:vMerge w:val="restart"/>
            <w:tcBorders>
              <w:top w:val="nil"/>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5. Modificación del contrato:</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w:t>
            </w:r>
          </w:p>
        </w:tc>
      </w:tr>
      <w:tr w:rsidR="00EF5CBC" w:rsidRPr="00EF5CBC" w:rsidTr="00EF5CBC">
        <w:trPr>
          <w:trHeight w:val="600"/>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informe del Servicio Jurídico y, en su caso, dictamen del Consejo de Estado o del Consejo Consultivo de Castilla-La Mancha.</w:t>
            </w:r>
          </w:p>
        </w:tc>
      </w:tr>
      <w:tr w:rsidR="00EF5CBC" w:rsidRPr="00EF5CBC" w:rsidTr="00EF5CBC">
        <w:trPr>
          <w:trHeight w:val="615"/>
        </w:trPr>
        <w:tc>
          <w:tcPr>
            <w:tcW w:w="2335" w:type="dxa"/>
            <w:gridSpan w:val="2"/>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se ha dado audiencia al adjudicatario y, en su caso, que consta su conformidad.</w:t>
            </w:r>
          </w:p>
        </w:tc>
      </w:tr>
      <w:tr w:rsidR="00EF5CBC" w:rsidRPr="00EF5CBC" w:rsidTr="00EF5CBC">
        <w:trPr>
          <w:trHeight w:val="465"/>
        </w:trPr>
        <w:tc>
          <w:tcPr>
            <w:tcW w:w="2335" w:type="dxa"/>
            <w:gridSpan w:val="2"/>
            <w:vMerge w:val="restart"/>
            <w:tcBorders>
              <w:top w:val="single" w:sz="8"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6. Abonos a cuenta:</w:t>
            </w:r>
          </w:p>
        </w:tc>
        <w:tc>
          <w:tcPr>
            <w:tcW w:w="6901" w:type="dxa"/>
            <w:gridSpan w:val="2"/>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la conformidad de los servicios competentes con el suministro realizado o fabricado. </w:t>
            </w:r>
          </w:p>
        </w:tc>
      </w:tr>
      <w:tr w:rsidR="00EF5CBC" w:rsidRPr="00EF5CBC" w:rsidTr="00EF5CBC">
        <w:trPr>
          <w:trHeight w:val="1026"/>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En caso de efectuarse anticipos, de los previstos en el artículo 198.3 de la Ley de Contratos del Sector Público, comprobar que tal posibilidad estaba prevista en el pliego de cláusulas administrativas particulares y que se ha prestado la garantía exigida. </w:t>
            </w:r>
          </w:p>
        </w:tc>
      </w:tr>
      <w:tr w:rsidR="00EF5CBC" w:rsidRPr="00EF5CBC" w:rsidTr="00EF5CBC">
        <w:trPr>
          <w:trHeight w:val="107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en el abono a cuenta se incluya revisión de precios,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547"/>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se aporta factura por la empresa adjudicataria de acuerdo con la normativa reguladora de las obligaciones de facturación.</w:t>
            </w:r>
          </w:p>
        </w:tc>
      </w:tr>
      <w:tr w:rsidR="00EF5CBC" w:rsidRPr="00EF5CBC" w:rsidTr="00EF5CBC">
        <w:trPr>
          <w:trHeight w:val="2100"/>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Cuando el importe acumulado de los abonos a cuenta vaya a ser igual o superior con motivo del siguiente pago al 90 por ciento del precio del contrato, incluidas, en su caso, las modificaciones aprobadas, que se acompaña, cuando resulte preceptiva, comunicación efectuada a la Intervención para la designación de un representante que asista a la recepción, en el ejercicio de las funciones de comprobación material de la inversión, conforme a lo señalado en el segundo párrafo del artículo 198.2 de la Ley de Contratos del Sector Público. </w:t>
            </w:r>
          </w:p>
        </w:tc>
      </w:tr>
      <w:tr w:rsidR="00EF5CBC" w:rsidRPr="00EF5CBC" w:rsidTr="00EF5CBC">
        <w:trPr>
          <w:trHeight w:val="1215"/>
        </w:trPr>
        <w:tc>
          <w:tcPr>
            <w:tcW w:w="2335" w:type="dxa"/>
            <w:gridSpan w:val="2"/>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En caso de efectuarse pagos directos a subcontratistas, comprobar que tal posibilidad está contemplada en el pliego de cláusulas administrativas particulares, conforme a la disposición adicional 51</w:t>
            </w:r>
            <w:proofErr w:type="gramStart"/>
            <w:r w:rsidRPr="00EF5CBC">
              <w:rPr>
                <w:rFonts w:ascii="Tahoma" w:hAnsi="Tahoma" w:cs="Tahoma"/>
                <w:color w:val="000000"/>
                <w:sz w:val="20"/>
                <w:szCs w:val="20"/>
              </w:rPr>
              <w:t>.ª</w:t>
            </w:r>
            <w:proofErr w:type="gramEnd"/>
            <w:r w:rsidRPr="00EF5CBC">
              <w:rPr>
                <w:rFonts w:ascii="Tahoma" w:hAnsi="Tahoma" w:cs="Tahoma"/>
                <w:color w:val="000000"/>
                <w:sz w:val="20"/>
                <w:szCs w:val="20"/>
              </w:rPr>
              <w:t xml:space="preserve"> de la Ley de Contratos del Sector Público.</w:t>
            </w:r>
          </w:p>
        </w:tc>
      </w:tr>
      <w:tr w:rsidR="00EF5CBC" w:rsidRPr="00EF5CBC" w:rsidTr="00EF5CBC">
        <w:trPr>
          <w:trHeight w:val="264"/>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7. Prórroga del contrato:</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está prevista en el pliego de cláusulas administrativas particulares. </w:t>
            </w:r>
          </w:p>
        </w:tc>
      </w:tr>
      <w:tr w:rsidR="00EF5CBC" w:rsidRPr="00EF5CBC" w:rsidTr="00EF5CBC">
        <w:trPr>
          <w:trHeight w:val="412"/>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no se superan los límites de duración previstos por el pliego de cláusulas administrativas particulares o el documento descriptivo. </w:t>
            </w:r>
          </w:p>
        </w:tc>
      </w:tr>
      <w:tr w:rsidR="00EF5CBC" w:rsidRPr="00EF5CBC" w:rsidTr="00EF5CBC">
        <w:trPr>
          <w:trHeight w:val="150"/>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se acompaña Informe Jurídico. </w:t>
            </w:r>
          </w:p>
        </w:tc>
      </w:tr>
      <w:tr w:rsidR="00EF5CBC" w:rsidRPr="00EF5CBC" w:rsidTr="00EF5CBC">
        <w:trPr>
          <w:trHeight w:val="1389"/>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En el supuesto de que resulte de aplicación lo establecido en el último párrafo del artículo 29.4 de la Ley de Contratos del Sector Público, que consta justificación en el expediente y que se ha publicado el correspondiente anuncio de licitación del nuevo contrato en el plazo señalado en dicho precepto. </w:t>
            </w:r>
          </w:p>
        </w:tc>
      </w:tr>
      <w:tr w:rsidR="00EF5CBC" w:rsidRPr="00EF5CBC" w:rsidTr="00EF5CBC">
        <w:trPr>
          <w:trHeight w:val="118"/>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consta la audiencia al contratista.</w:t>
            </w:r>
          </w:p>
        </w:tc>
      </w:tr>
      <w:tr w:rsidR="00EF5CBC" w:rsidRPr="00EF5CBC" w:rsidTr="00EF5CBC">
        <w:trPr>
          <w:trHeight w:val="444"/>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Contrato de suministros.                   8. Entregas parciales y Liquidación:</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se acompaña acta de conformidad de la recepción del suministro, certificado de conformidad con la prestación.</w:t>
            </w:r>
          </w:p>
        </w:tc>
      </w:tr>
      <w:tr w:rsidR="00EF5CBC" w:rsidRPr="00EF5CBC" w:rsidTr="00EF5CBC">
        <w:trPr>
          <w:trHeight w:val="466"/>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se aporta factura por la empresa adjudicataria de acuerdo con la normativa reguladora de las obligaciones de facturación.</w:t>
            </w:r>
          </w:p>
        </w:tc>
      </w:tr>
      <w:tr w:rsidR="00EF5CBC" w:rsidRPr="00EF5CBC" w:rsidTr="00EF5CBC">
        <w:trPr>
          <w:trHeight w:val="972"/>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incluya revisión de precios, para su abono,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915"/>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En el caso de que se haga uso de la posibilidad prevista en el artículo 301.2 de la Ley de Contratos del Sector Público, que dicha opción está prevista en el pliego de cláusulas administrativas particulares.</w:t>
            </w:r>
          </w:p>
        </w:tc>
      </w:tr>
      <w:tr w:rsidR="00EF5CBC" w:rsidRPr="00EF5CBC" w:rsidTr="00EF5CBC">
        <w:trPr>
          <w:trHeight w:val="300"/>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9. Pago de intereses de demora e indemnizaciones por costes de cobro y otras indemnizaciones a favor del contratista:</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Jurídico.</w:t>
            </w:r>
          </w:p>
        </w:tc>
      </w:tr>
      <w:tr w:rsidR="00EF5CBC" w:rsidRPr="00EF5CBC" w:rsidTr="00EF5CBC">
        <w:trPr>
          <w:trHeight w:val="254"/>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Informe técnico. </w:t>
            </w:r>
          </w:p>
        </w:tc>
      </w:tr>
      <w:tr w:rsidR="00EF5CBC" w:rsidRPr="00EF5CBC" w:rsidTr="00EF5CBC">
        <w:trPr>
          <w:trHeight w:val="499"/>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en su caso, existe dictamen del Consejo de Estado o del Consejo Consultivo de Castilla-La Mancha.</w:t>
            </w:r>
          </w:p>
        </w:tc>
      </w:tr>
      <w:tr w:rsidR="00EF5CBC" w:rsidRPr="00EF5CBC" w:rsidTr="00EF5CBC">
        <w:trPr>
          <w:trHeight w:val="300"/>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existe resolución de la solicitud de abono de intereses.</w:t>
            </w:r>
          </w:p>
        </w:tc>
      </w:tr>
      <w:tr w:rsidR="00EF5CBC" w:rsidRPr="00EF5CBC" w:rsidTr="00EF5CBC">
        <w:trPr>
          <w:trHeight w:val="258"/>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consta la audiencia al contratista.</w:t>
            </w:r>
          </w:p>
        </w:tc>
      </w:tr>
      <w:tr w:rsidR="00EF5CBC" w:rsidRPr="00EF5CBC" w:rsidTr="00EF5CBC">
        <w:trPr>
          <w:trHeight w:val="300"/>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suministros.                   10. Resolución del contrato de suministro:</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en su caso, existe Informe Jurídico. </w:t>
            </w:r>
          </w:p>
        </w:tc>
      </w:tr>
      <w:tr w:rsidR="00EF5CBC" w:rsidRPr="00EF5CBC" w:rsidTr="00EF5CBC">
        <w:trPr>
          <w:trHeight w:val="463"/>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su caso, existe dictamen del Consejo de Estado o del Consejo Consultivo de Castilla-La Mancha.</w:t>
            </w:r>
          </w:p>
        </w:tc>
      </w:tr>
      <w:tr w:rsidR="00EF5CBC" w:rsidRPr="00EF5CBC" w:rsidTr="00EF5CBC">
        <w:trPr>
          <w:trHeight w:val="118"/>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se acredita la audiencia al contratista.</w:t>
            </w:r>
          </w:p>
        </w:tc>
      </w:tr>
      <w:tr w:rsidR="00EF5CBC" w:rsidRPr="00EF5CBC" w:rsidTr="00EF5CBC">
        <w:trPr>
          <w:trHeight w:val="491"/>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suministros.                   11. Devolución de garantía o cancelación de aval:</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Informe del servicio sobre su conformidad y transcurso del plazo de garantía.</w:t>
            </w:r>
          </w:p>
        </w:tc>
      </w:tr>
      <w:tr w:rsidR="00EF5CBC" w:rsidRPr="00EF5CBC" w:rsidTr="00EF5CBC">
        <w:trPr>
          <w:trHeight w:val="315"/>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Acuerdo del órgano competente.</w:t>
            </w:r>
          </w:p>
        </w:tc>
      </w:tr>
      <w:tr w:rsidR="00EF5CBC" w:rsidRPr="00EF5CBC" w:rsidTr="00EF5CBC">
        <w:trPr>
          <w:trHeight w:val="300"/>
        </w:trPr>
        <w:tc>
          <w:tcPr>
            <w:tcW w:w="2335" w:type="dxa"/>
            <w:gridSpan w:val="2"/>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Contrato de suministros.                  12. Adquisición de equipos y sistemas para el tratamiento de la información.                                      12.1. Aprobación del gasto: </w:t>
            </w:r>
          </w:p>
        </w:tc>
        <w:tc>
          <w:tcPr>
            <w:tcW w:w="6901" w:type="dxa"/>
            <w:gridSpan w:val="2"/>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Propuesta de adquisición y aprobación del gasto.</w:t>
            </w:r>
          </w:p>
        </w:tc>
      </w:tr>
      <w:tr w:rsidR="00EF5CBC" w:rsidRPr="00EF5CBC" w:rsidTr="00EF5CBC">
        <w:trPr>
          <w:trHeight w:val="1215"/>
        </w:trPr>
        <w:tc>
          <w:tcPr>
            <w:tcW w:w="2335" w:type="dxa"/>
            <w:gridSpan w:val="2"/>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01"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76923C" w:themeColor="accent3" w:themeShade="BF"/>
                <w:sz w:val="20"/>
                <w:szCs w:val="20"/>
              </w:rPr>
            </w:pPr>
            <w:r w:rsidRPr="00EF5CBC">
              <w:rPr>
                <w:rFonts w:ascii="Tahoma" w:hAnsi="Tahoma" w:cs="Tahoma"/>
                <w:color w:val="76923C" w:themeColor="accent3" w:themeShade="BF"/>
                <w:sz w:val="20"/>
                <w:szCs w:val="20"/>
              </w:rPr>
              <w:t>b) Informe del Servicio de Informática sobre la conveniencia, necesidad, compatibilidad e interoperabilidad y cualquier otro factor  que sea relevante para un funcionamiento integral de los sistemas informáticos.</w:t>
            </w:r>
          </w:p>
        </w:tc>
      </w:tr>
      <w:tr w:rsidR="00EF5CBC" w:rsidRPr="00EF5CBC" w:rsidTr="00EF5CBC">
        <w:trPr>
          <w:gridAfter w:val="1"/>
          <w:wAfter w:w="215" w:type="dxa"/>
          <w:trHeight w:val="2115"/>
        </w:trPr>
        <w:tc>
          <w:tcPr>
            <w:tcW w:w="2121" w:type="dxa"/>
            <w:tcBorders>
              <w:top w:val="single" w:sz="8" w:space="0" w:color="auto"/>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 xml:space="preserve">Contrato de suministros.                  12. Adquisición de equipos y sistemas para el tratamiento de la información.                                      12.2. Adjudicación y formalización: </w:t>
            </w:r>
          </w:p>
        </w:tc>
        <w:tc>
          <w:tcPr>
            <w:tcW w:w="6900" w:type="dxa"/>
            <w:gridSpan w:val="2"/>
            <w:tcBorders>
              <w:top w:val="single" w:sz="8" w:space="0" w:color="auto"/>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Se comprobará los mismos extremos que para los contratos de suministros en general.</w:t>
            </w:r>
          </w:p>
        </w:tc>
      </w:tr>
      <w:tr w:rsidR="00EF5CBC" w:rsidRPr="00EF5CBC" w:rsidTr="00EF5CBC">
        <w:trPr>
          <w:gridAfter w:val="1"/>
          <w:wAfter w:w="215" w:type="dxa"/>
          <w:trHeight w:val="1515"/>
        </w:trPr>
        <w:tc>
          <w:tcPr>
            <w:tcW w:w="2121"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13. Contrato de suministros.                  Contrato de suministro de fabricación.</w:t>
            </w:r>
          </w:p>
        </w:tc>
        <w:tc>
          <w:tcPr>
            <w:tcW w:w="6900" w:type="dxa"/>
            <w:gridSpan w:val="2"/>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Cuando el pliego de cláusulas administrativas particulares determine la aplicación directa de las normas del contrato de obras, se comprobarán los extremos previstos para dicho tipo de contrato en el punto segundo de este Anexo. En otro caso, dichos extremos serán los especificados para suministros en general.</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Contratos de Servicios.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1"/>
      </w:tblGrid>
      <w:tr w:rsidR="00EF5CBC" w:rsidRPr="00EF5CBC" w:rsidTr="00EF5CBC">
        <w:trPr>
          <w:trHeight w:val="315"/>
        </w:trPr>
        <w:tc>
          <w:tcPr>
            <w:tcW w:w="291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1" w:type="dxa"/>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315"/>
        </w:trPr>
        <w:tc>
          <w:tcPr>
            <w:tcW w:w="2918" w:type="dxa"/>
            <w:tcBorders>
              <w:top w:val="nil"/>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SERVICIOS</w:t>
            </w:r>
          </w:p>
        </w:tc>
        <w:tc>
          <w:tcPr>
            <w:tcW w:w="6721" w:type="dxa"/>
            <w:tcBorders>
              <w:top w:val="nil"/>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1. Aprobación del gasto: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pliego de cláusulas administrativas particulares o, en su caso, documento descriptivo, informado por el Servicio Jurídico.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pliego de prescripciones técnicas del servicio o, en su caso, documento descriptivo.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modelo de pliego de cláusulas administrativas, verificar que el contrato a celebrar es de naturaleza análoga al informado por el Servicio Jurídico.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se justifica en el expediente la carencia de medios suficientes para la prestación del servicio por la propia Administración por sus propios medios.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el objeto del contrato está perfectamente definido, de manera que permita la comprobación del exacto cumplimiento de las obligaciones por parte del contratista. </w:t>
            </w:r>
          </w:p>
        </w:tc>
      </w:tr>
      <w:tr w:rsidR="00EF5CBC" w:rsidRPr="00EF5CBC" w:rsidTr="00EF5CBC">
        <w:trPr>
          <w:trHeight w:val="27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Que el pliego de cláusulas administrativas particulares o el documento descriptivo establece, para la determinación de la mejor oferta, criterios vinculados al objeto del contrato; que cuando se utilice un único criterio, éste esté relacionado con los costes, de acuerdo con el artículo 146.1 de la Ley de Contratos del Sector Público; si el único criterio a considerar es el precio, se verificará que éste sea el del precio más bajo; y en los casos en que figuren una pluralidad de criterios de adjudicación basados en la mejor relación calidad-precio, que se establezcan con arreglo a criterios económicos y cualitativos.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los casos en que el procedimiento de adjudicación propuesto sea el del diálogo competitivo se verificará asimismo que en la selección de la mejor oferta se toma en consideración más de un criterio de adjudicación en base a la mejor relación calidad-precio.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g) Cuando se prevea la utilización de varios criterios de adjudicación o de un único criterio distinto del precio, que el pliego de cláusulas administrativas particulares o el documento descriptivo establece los parámetros objetivos para identificar las ofertas anormalmente bajas. </w:t>
            </w:r>
          </w:p>
        </w:tc>
      </w:tr>
      <w:tr w:rsidR="00EF5CBC" w:rsidRPr="00EF5CBC" w:rsidTr="00EF5CBC">
        <w:trPr>
          <w:trHeight w:val="136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EF5CBC">
        <w:trPr>
          <w:trHeight w:val="190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i) Que el pliego de cláusulas administrativas particulares o el documento descriptivo establece al menos una de las condiciones especiales de ejecución que se enumeran en el artículo 202.2 de la Ley de Contratos del Sector Público y la obligación del adjudicatario de cumplir las condiciones salariales de los trabajadores conforme al Convenio colectivo sectorial de aplicación. </w:t>
            </w:r>
          </w:p>
        </w:tc>
      </w:tr>
      <w:tr w:rsidR="00EF5CBC" w:rsidRPr="00EF5CBC" w:rsidTr="00EF5CBC">
        <w:trPr>
          <w:trHeight w:val="130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Cuando se proponga como procedimiento de adjudicación el procedimiento abierto simplificado, comprobar que se cumplen las condiciones previstas en el artículo 159.1 de la Ley de Contratos del Sector Público.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caso de que este procedimiento se tramite según lo previsto en el artículo 159.6 de dicha Ley, se verificará que no se supera el valor estimado fijado en dicho apartado y que entre los criterios de adjudicación no hay ninguno evaluable mediante juicios de valor.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k)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Que la duración del contrato prevista en el pliego de cláusulas administrativas particulares o el documento descriptivo se ajusta a lo previsto en la Ley de Contratos del Sector Público. </w:t>
            </w:r>
          </w:p>
        </w:tc>
      </w:tr>
      <w:tr w:rsidR="00EF5CBC" w:rsidRPr="00EF5CBC" w:rsidTr="00EF5CBC">
        <w:trPr>
          <w:trHeight w:val="187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que en el documento descriptivo se fija la cuantía de las mismas y que consta la correspondiente retención de crédito. </w:t>
            </w:r>
          </w:p>
        </w:tc>
      </w:tr>
      <w:tr w:rsidR="00EF5CBC" w:rsidRPr="00EF5CBC" w:rsidTr="00EF5CBC">
        <w:trPr>
          <w:trHeight w:val="18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n)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5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o)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6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p) Que existe memoria de necesidad e idoneidad, y que existe estudio económico.</w:t>
            </w:r>
          </w:p>
        </w:tc>
      </w:tr>
      <w:tr w:rsidR="00EF5CBC" w:rsidRPr="00EF5CBC" w:rsidTr="00EF5CBC">
        <w:trPr>
          <w:trHeight w:val="9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2. Compromiso del gasto. Adjudicación:</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Cuando no se adjudique el contrato de acuerdo con la propuesta formulada por la Mesa, que existe decisión motivada del órgano de contratación al respecto.</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EF5CBC">
        <w:trPr>
          <w:trHeight w:val="15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EF5CBC">
        <w:trPr>
          <w:trHeight w:val="126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proponga la celebración de un contrato con precios provisionales de conformidad con el artículo 102.7 de la Ley de Contratos del Sector Público, que se detallan en la propuesta de adjudicación los extremos contenidos en las letras a), b) y c) del citado precepto. </w:t>
            </w:r>
          </w:p>
        </w:tc>
      </w:tr>
      <w:tr w:rsidR="00EF5CBC" w:rsidRPr="00EF5CBC" w:rsidTr="00EF5CBC">
        <w:trPr>
          <w:trHeight w:val="3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Acreditación de la constitución de la garantía definitiva, en su caso. </w:t>
            </w:r>
          </w:p>
        </w:tc>
      </w:tr>
      <w:tr w:rsidR="00EF5CBC" w:rsidRPr="00EF5CBC" w:rsidTr="00EF5CBC">
        <w:trPr>
          <w:trHeight w:val="4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 con las dos siguientes excepciones, en el procedimiento abierto simplificado tramitado conforme al artículo 159.4 de dicha Ley, en el que sólo se examinará que se ha aportado el compromiso al que se refiere el artículo 75.2 de la Ley y en el procedimiento abreviado tramitado conforme al artículo 159.6 de la Ley cuando se haya constituido la Mesa, en el que no procederá la aplicación de este extremo.</w:t>
            </w:r>
          </w:p>
        </w:tc>
      </w:tr>
      <w:tr w:rsidR="00EF5CBC" w:rsidRPr="00EF5CBC" w:rsidTr="00EF5CBC">
        <w:trPr>
          <w:trHeight w:val="3015"/>
        </w:trPr>
        <w:tc>
          <w:tcPr>
            <w:tcW w:w="2918"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3. Formalización:</w:t>
            </w: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las medidas cautelares.</w:t>
            </w:r>
          </w:p>
        </w:tc>
      </w:tr>
      <w:tr w:rsidR="00EF5CBC" w:rsidRPr="00EF5CBC" w:rsidTr="00EF5CBC">
        <w:trPr>
          <w:trHeight w:val="30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Contrato de servicios.                     4. Modificación del contrato: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b) Que existe informe del Servicio Jurídico y, en su caso, dictamen del Consejo de Estado.</w:t>
            </w:r>
          </w:p>
        </w:tc>
      </w:tr>
      <w:tr w:rsidR="00EF5CBC" w:rsidRPr="00EF5CBC" w:rsidTr="00EF5CBC">
        <w:trPr>
          <w:trHeight w:val="6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informe del Servicio Jurídico y, en su caso, dictamen del Consejo de Estado o del Consejo Consultivo de Castilla-La Mancha.</w:t>
            </w:r>
          </w:p>
        </w:tc>
      </w:tr>
      <w:tr w:rsidR="00EF5CBC" w:rsidRPr="00EF5CBC" w:rsidTr="00EF5CBC">
        <w:trPr>
          <w:trHeight w:val="2115"/>
        </w:trPr>
        <w:tc>
          <w:tcPr>
            <w:tcW w:w="2918"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5.  Revisión de precios (aprobación del gasto):</w:t>
            </w: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Que, en los contratos en los que pueda preverse la revisión de precios, se cumplen los requisitos recogidos en el artículo 103.5 de la Ley de Contratos del Sector Público y que el pliego de cláusulas administrativas particulares establece la fórmula de revisión aplicable. En el caso de que para el contrato que se trate se haya aprobado una fórmula tipo, se verificará que no se incluye otra fórmula de revisión diferente en los pliegos.</w:t>
            </w:r>
          </w:p>
        </w:tc>
      </w:tr>
      <w:tr w:rsidR="00EF5CBC" w:rsidRPr="00EF5CBC" w:rsidTr="00EF5CBC">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7. Abonos a cuenta:</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la conformidad del órgano correspondiente valorando el trabajo ejecutado.</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En caso de efectuarse anticipos, de los previstos en el artículo 198.3 de la Ley de Contratos del Sector Público, comprobar que tal posibilidad estaba prevista en el pliego de cláusulas administrativas particulares y que se ha prestado la garantía exigida.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en el abono a cuenta se incluya revisión de precios,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se aporta factura por la empresa adjudicataria de acuerdo con </w:t>
            </w:r>
            <w:proofErr w:type="spellStart"/>
            <w:r w:rsidRPr="00EF5CBC">
              <w:rPr>
                <w:rFonts w:ascii="Tahoma" w:hAnsi="Tahoma" w:cs="Tahoma"/>
                <w:color w:val="000000"/>
                <w:sz w:val="20"/>
                <w:szCs w:val="20"/>
              </w:rPr>
              <w:t>con</w:t>
            </w:r>
            <w:proofErr w:type="spellEnd"/>
            <w:r w:rsidRPr="00EF5CBC">
              <w:rPr>
                <w:rFonts w:ascii="Tahoma" w:hAnsi="Tahoma" w:cs="Tahoma"/>
                <w:color w:val="000000"/>
                <w:sz w:val="20"/>
                <w:szCs w:val="20"/>
              </w:rPr>
              <w:t xml:space="preserve"> la normativa vigente.</w:t>
            </w:r>
          </w:p>
        </w:tc>
      </w:tr>
      <w:tr w:rsidR="00EF5CBC" w:rsidRPr="00EF5CBC" w:rsidTr="00EF5CBC">
        <w:trPr>
          <w:trHeight w:val="24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Cuando el importe acumulado de los abonos a cuenta vaya a ser igual o superior con motivo del siguiente pago al 90 por ciento del precio del contrato, incluidas, en su caso, las modificaciones aprobadas, que se acompaña, cuando resulte preceptiva, comunicación efectuada a la Intervención para la designación de un representante que asista a la recepción, en el ejercicio de las funciones de comprobación material de la inversión, conforme a lo señalado en el segundo párrafo del artículo 198.2 de la Ley de Contratos del Sector Público. </w:t>
            </w:r>
          </w:p>
        </w:tc>
      </w:tr>
      <w:tr w:rsidR="00EF5CBC" w:rsidRPr="00EF5CBC" w:rsidTr="00EF5CBC">
        <w:trPr>
          <w:trHeight w:val="12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En caso de efectuarse pagos directos a subcontratistas, comprobar que tal posibilidad está contemplada en el pliego de cláusulas administrativas particulares, conforme a la disposición adicional 51</w:t>
            </w:r>
            <w:proofErr w:type="gramStart"/>
            <w:r w:rsidRPr="00EF5CBC">
              <w:rPr>
                <w:rFonts w:ascii="Tahoma" w:hAnsi="Tahoma" w:cs="Tahoma"/>
                <w:color w:val="000000"/>
                <w:sz w:val="20"/>
                <w:szCs w:val="20"/>
              </w:rPr>
              <w:t>.ª</w:t>
            </w:r>
            <w:proofErr w:type="gramEnd"/>
            <w:r w:rsidRPr="00EF5CBC">
              <w:rPr>
                <w:rFonts w:ascii="Tahoma" w:hAnsi="Tahoma" w:cs="Tahoma"/>
                <w:color w:val="000000"/>
                <w:sz w:val="20"/>
                <w:szCs w:val="20"/>
              </w:rPr>
              <w:t xml:space="preserve"> de la Ley de Contratos del Sector Público.</w:t>
            </w:r>
          </w:p>
        </w:tc>
      </w:tr>
      <w:tr w:rsidR="00EF5CBC" w:rsidRPr="00EF5CBC" w:rsidTr="00EF5CBC">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8. Prórroga de los contratos:</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está prevista en el pliego de cláusulas administrativas particulares.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no se superan los límites de duración previstos por el pliego de cláusulas administrativas particulares o el documento descriptivo. </w:t>
            </w:r>
          </w:p>
        </w:tc>
      </w:tr>
      <w:tr w:rsidR="00EF5CBC" w:rsidRPr="00EF5CBC" w:rsidTr="00EF5CBC">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se acompaña Informe Jurídico. </w:t>
            </w:r>
          </w:p>
        </w:tc>
      </w:tr>
      <w:tr w:rsidR="00EF5CBC" w:rsidRPr="00EF5CBC" w:rsidTr="00EF5CBC">
        <w:trPr>
          <w:trHeight w:val="1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En el supuesto de que resulte de aplicación lo establecido en el último párrafo del artículo 29.4 de la Ley de Contratos del Sector Público, que consta justificación en el expediente y que se ha publicado el correspondiente anuncio de licitación del nuevo contrato en el plazo señalado en dicho precepto. </w:t>
            </w:r>
          </w:p>
        </w:tc>
      </w:tr>
      <w:tr w:rsidR="00EF5CBC" w:rsidRPr="00EF5CBC" w:rsidTr="00EF5CBC">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9. Entregas parciales y liquidación:</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se acompaña acta de conformidad de la recepción con los trabajos.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se aporta factura por la empresa adjudicataria de acuerdo con la normativa vigente.</w:t>
            </w:r>
          </w:p>
        </w:tc>
      </w:tr>
      <w:tr w:rsidR="00EF5CBC" w:rsidRPr="00EF5CBC" w:rsidTr="00EF5CBC">
        <w:trPr>
          <w:trHeight w:val="12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incluya revisión de precios, para su abono, comprobar que se cumplen los requisitos exigidos por el artículo 103.5 de la Ley de Contratos del Sector Público y que se aplica la fórmula de revisión prevista en el pliego de cláusulas administrativas particulares.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En el caso de que se haga uso de la posibilidad prevista en el artículo 309.1 de la Ley de Contratos del Sector Público, que dicha opción está prevista en el pliego de cláusulas administrativas particulares.</w:t>
            </w:r>
          </w:p>
        </w:tc>
      </w:tr>
      <w:tr w:rsidR="00EF5CBC" w:rsidRPr="00EF5CBC" w:rsidTr="00EF5CBC">
        <w:trPr>
          <w:trHeight w:val="3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existe conformidad o, en su caso, audiencia al contratista.</w:t>
            </w:r>
          </w:p>
        </w:tc>
      </w:tr>
      <w:tr w:rsidR="00EF5CBC" w:rsidRPr="00EF5CBC" w:rsidTr="00EF5CBC">
        <w:trPr>
          <w:trHeight w:val="3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servicios.                     10. Pago de intereses de demora e indemnizaciones por costes de cobro y otras indemnizaciones a favor del contratista:</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Jurídico.</w:t>
            </w:r>
          </w:p>
        </w:tc>
      </w:tr>
      <w:tr w:rsidR="00EF5CBC" w:rsidRPr="00EF5CBC" w:rsidTr="00EF5CBC">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informe técnico. </w:t>
            </w:r>
          </w:p>
        </w:tc>
      </w:tr>
      <w:tr w:rsidR="00EF5CBC" w:rsidRPr="00EF5CBC" w:rsidTr="00EF5CBC">
        <w:trPr>
          <w:trHeight w:val="3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en su caso, existe dictamen del Consejo Consultivo competente.</w:t>
            </w:r>
          </w:p>
        </w:tc>
      </w:tr>
      <w:tr w:rsidR="00EF5CBC" w:rsidRPr="00EF5CBC" w:rsidTr="00EF5CBC">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existe resolución de la solicitud de abono de intereses.</w:t>
            </w:r>
          </w:p>
        </w:tc>
      </w:tr>
      <w:tr w:rsidR="00EF5CBC" w:rsidRPr="00EF5CBC" w:rsidTr="00EF5CBC">
        <w:trPr>
          <w:trHeight w:val="63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consta la audiencia al contratista.</w:t>
            </w:r>
          </w:p>
        </w:tc>
      </w:tr>
      <w:tr w:rsidR="00EF5CBC" w:rsidRPr="00EF5CBC" w:rsidTr="00EF5CBC">
        <w:trPr>
          <w:trHeight w:val="267"/>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Contrato de servicios.                     11. Resolución del </w:t>
            </w:r>
            <w:r w:rsidRPr="00EF5CBC">
              <w:rPr>
                <w:rFonts w:ascii="Tahoma" w:hAnsi="Tahoma" w:cs="Tahoma"/>
                <w:color w:val="000000"/>
                <w:sz w:val="20"/>
                <w:szCs w:val="20"/>
              </w:rPr>
              <w:lastRenderedPageBreak/>
              <w:t>contrato: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lastRenderedPageBreak/>
              <w:t>a) Que, en su caso, existe informe del Servicio Jurídico.</w:t>
            </w:r>
          </w:p>
        </w:tc>
      </w:tr>
      <w:tr w:rsidR="00EF5CBC" w:rsidRPr="00EF5CBC" w:rsidTr="00EF5CBC">
        <w:trPr>
          <w:trHeight w:val="36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su caso, existe dictamen del Consejo Consultivo competente.</w:t>
            </w:r>
          </w:p>
        </w:tc>
      </w:tr>
      <w:tr w:rsidR="00EF5CBC" w:rsidRPr="00EF5CBC" w:rsidTr="00EF5CBC">
        <w:trPr>
          <w:trHeight w:val="1815"/>
        </w:trPr>
        <w:tc>
          <w:tcPr>
            <w:tcW w:w="2918" w:type="dxa"/>
            <w:tcBorders>
              <w:top w:val="single" w:sz="8" w:space="0" w:color="auto"/>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Contrato de servicios.                     12. Expedientes relativos a la contratación de Tecnologías de la Información.</w:t>
            </w:r>
          </w:p>
        </w:tc>
        <w:tc>
          <w:tcPr>
            <w:tcW w:w="6721" w:type="dxa"/>
            <w:tcBorders>
              <w:top w:val="single" w:sz="8" w:space="0" w:color="auto"/>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Se comprobarán los mismos extremos que para los contratos de servicios en general y, además, en la fase de aprobación del gasto, la existencia del informe técnico de la memoria del Servicio de Informática sobre la conveniencia, necesidad, compatibilidad e interoperabilidad y cualquier otro factor  que sea relevante para un funcionamiento integral del los sistemas informáticos.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Expedientes relativos a otros contratos de servicios.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1"/>
      </w:tblGrid>
      <w:tr w:rsidR="00EF5CBC" w:rsidRPr="00EF5CBC" w:rsidTr="00EF5CBC">
        <w:trPr>
          <w:trHeight w:val="360"/>
        </w:trPr>
        <w:tc>
          <w:tcPr>
            <w:tcW w:w="291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1" w:type="dxa"/>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615"/>
        </w:trPr>
        <w:tc>
          <w:tcPr>
            <w:tcW w:w="2918" w:type="dxa"/>
            <w:tcBorders>
              <w:top w:val="nil"/>
              <w:left w:val="single" w:sz="8" w:space="0" w:color="auto"/>
              <w:bottom w:val="single" w:sz="8" w:space="0" w:color="auto"/>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OTROS CONTRATOS DE SERVICIOS</w:t>
            </w:r>
          </w:p>
        </w:tc>
        <w:tc>
          <w:tcPr>
            <w:tcW w:w="6721" w:type="dxa"/>
            <w:tcBorders>
              <w:top w:val="nil"/>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836"/>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sz w:val="20"/>
                <w:szCs w:val="20"/>
              </w:rPr>
            </w:pPr>
            <w:r w:rsidRPr="00EF5CBC">
              <w:rPr>
                <w:rFonts w:ascii="Tahoma" w:hAnsi="Tahoma" w:cs="Tahoma"/>
                <w:sz w:val="20"/>
                <w:szCs w:val="20"/>
              </w:rPr>
              <w:t xml:space="preserve">1. Otros Contratos de servicios.  En los expedientes relativos a contratos de servicios que tengan por objeto servicios financieros o bien la creación e interpretación artística y literaria y los de espectáculos, de carácter privado conforme a lo dispuesto en el artículo 25.1.a) de la Ley de Contratos del Sector Público.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sz w:val="20"/>
                <w:szCs w:val="20"/>
              </w:rPr>
            </w:pPr>
            <w:r w:rsidRPr="00EF5CBC">
              <w:rPr>
                <w:rFonts w:ascii="Tahoma" w:hAnsi="Tahoma" w:cs="Tahoma"/>
                <w:sz w:val="20"/>
                <w:szCs w:val="20"/>
              </w:rPr>
              <w:t xml:space="preserve">1. En las fases correspondientes a la aprobación y compromiso del gasto del expediente inicial de estos contratos se comprobarán los mismos extremos previstos para los contratos de servicios en general. </w:t>
            </w:r>
          </w:p>
        </w:tc>
      </w:tr>
      <w:tr w:rsidR="00EF5CBC" w:rsidRPr="00EF5CBC" w:rsidTr="00EF5CBC">
        <w:trPr>
          <w:trHeight w:val="296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sz w:val="20"/>
                <w:szCs w:val="20"/>
              </w:rPr>
            </w:pPr>
            <w:r w:rsidRPr="00EF5CBC">
              <w:rPr>
                <w:rFonts w:ascii="Tahoma" w:hAnsi="Tahoma" w:cs="Tahoma"/>
                <w:sz w:val="20"/>
                <w:szCs w:val="20"/>
              </w:rPr>
              <w:t>2. En el resto de expedientes se comprobarán los extremos establecidos en el punto cuarto relativo a los expedientes de contratos de servicios, en la medida que dichos extremos sean exigibles de acuerdo con su normativa reguladora.</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Ejecución de trabajos por la propia Administración. Expedientes de ejecución de trabajos por la propia Administración: contratos de colaboración con empresarios particulares y encargos a medios propios personificados.  </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1"/>
      </w:tblGrid>
      <w:tr w:rsidR="00EF5CBC" w:rsidRPr="00EF5CBC" w:rsidTr="00EF5CBC">
        <w:trPr>
          <w:trHeight w:val="315"/>
        </w:trPr>
        <w:tc>
          <w:tcPr>
            <w:tcW w:w="291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1" w:type="dxa"/>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930"/>
        </w:trPr>
        <w:tc>
          <w:tcPr>
            <w:tcW w:w="9639"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lastRenderedPageBreak/>
              <w:t xml:space="preserve">Ejecución de trabajos por la propia Administración. Expedientes de ejecución de trabajos por la propia Administración: contratos de colaboración con empresarios particulares y encargos a medios propios personificados. </w:t>
            </w:r>
          </w:p>
        </w:tc>
      </w:tr>
      <w:tr w:rsidR="00EF5CBC" w:rsidRPr="00EF5CBC" w:rsidTr="00EF5CBC">
        <w:trPr>
          <w:trHeight w:val="15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 Contratos de colaboración con empresarios particulares.                           A) Aprobación del gasto: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concurre alguno de los supuestos previstos en el artículo 30 de la Ley de Contratos del Sector Público y que el importe del trabajo a cargo del empresario colaborador, tratándose de supuestos de ejecución de obras incluidas en las letras a) y b) del apartado 1 de dicho artículo, no supere el 60 por ciento del importe total del proyecto.</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 b) Que existe pliego de cláusulas administrativas particulares o, en su caso, documento descriptivo, informado por el Servicio Jurídico.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modelo de pliego de cláusulas administrativas, verificar que el contrato a celebrar es de naturaleza análoga al informado por el Servicio Jurídico. </w:t>
            </w:r>
          </w:p>
        </w:tc>
      </w:tr>
      <w:tr w:rsidR="00EF5CBC" w:rsidRPr="00EF5CBC" w:rsidTr="00EF5CBC">
        <w:trPr>
          <w:trHeight w:val="21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en su caso, existe proyecto informado por los técnicos municipales y/o por la Oficina de Supervisión de Proyectos, si procede. En su caso, cuando no exista informe  de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existe pliego de prescripciones técnicas del contrato o, en su caso, documento descriptivo. </w:t>
            </w:r>
          </w:p>
        </w:tc>
      </w:tr>
      <w:tr w:rsidR="00EF5CBC" w:rsidRPr="00EF5CBC" w:rsidTr="00EF5CBC">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Que existe acta de replanteo previo, en su caso. </w:t>
            </w:r>
          </w:p>
        </w:tc>
      </w:tr>
      <w:tr w:rsidR="00EF5CBC" w:rsidRPr="00EF5CBC" w:rsidTr="00EF5CBC">
        <w:trPr>
          <w:trHeight w:val="27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g) Que el pliego de cláusulas administrativas particulares o el documento descriptivo establece, para la determinación de la mejor oferta, criterios vinculados al objeto del contrato; que cuando se utilice un único criterio, éste esté relacionado con los costes, de acuerdo con el artículo 146.1 de la Ley de Contratos del Sector Público; si el único criterio a considerar es el precio, se verificará que éste sea el del precio más bajo; y en los casos en que figuren una pluralidad de criterios de adjudicación basados en la mejor relación calidad-precio, que se establezcan con arreglo a criterios económicos y cualitativos.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los casos en que el procedimiento de adjudicación propuesto sea el de diálogo competitivo asimismo se verificará que en la selección de la mejor oferta se toma en consideración más de un criterio de adjudicación en base a la mejor relación calidad-precio.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Cuando se prevea la utilización de varios criterios de adjudicación o de un único criterio distinto del precio, que el pliego de cláusulas administrativas particulares o el documento descriptivo establece los parámetros objetivos para identificar las ofertas anormalmente bajas. </w:t>
            </w:r>
          </w:p>
        </w:tc>
      </w:tr>
      <w:tr w:rsidR="00EF5CBC" w:rsidRPr="00EF5CBC" w:rsidTr="00EF5CBC">
        <w:trPr>
          <w:trHeight w:val="12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i)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EF5CBC">
        <w:trPr>
          <w:trHeight w:val="18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Que el pliego de cláusulas administrativas particulares o el documento descriptivo establece al menos una de las condiciones especiales de ejecución que se enumeran en el artículo 202.2 de la Ley de Contratos del Sector Público y la obligación del adjudicatario de cumplir las condiciones salariales de los trabajadores conforme al Convenio colectivo sectorial de aplicación. </w:t>
            </w:r>
          </w:p>
        </w:tc>
      </w:tr>
      <w:tr w:rsidR="00EF5CBC" w:rsidRPr="00EF5CBC" w:rsidTr="00EF5CBC">
        <w:trPr>
          <w:trHeight w:val="21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k) Cuando se proponga como procedimiento de adjudicación el procedimiento abierto simplificado, comprobar que se cumplen las condiciones previstas en el artículo 159.1 de la Ley de Contratos del Sector Público. En caso de que este procedimiento se tramite según lo previsto en el artículo 159.6 de dicha Ley, se verificará que no se supera el valor estimado fijado en dicho apartado y que entre los criterios de adjudicación no hay ninguno evaluable mediante juicios de valor.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EF5CBC">
        <w:trPr>
          <w:trHeight w:val="18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que en el documento descriptivo se fija la cuantía de las mismas y que consta la correspondiente retención de crédito.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n) En su caso, que la duración del contrato prevista en el pliego de cláusulas administrativas particulares o el documento descriptivo se ajusta a lo previsto en la Ley de Contratos del Sector Público. </w:t>
            </w:r>
          </w:p>
        </w:tc>
      </w:tr>
      <w:tr w:rsidR="00EF5CBC" w:rsidRPr="00EF5CBC" w:rsidTr="00EF5CBC">
        <w:trPr>
          <w:trHeight w:val="18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o)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p)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9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 Contratos de colaboración con empresarios particulares.                          B) Compromiso del gasto: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Cuando no se adjudique el contrato de acuerdo con la propuesta formulada por la Mesa, que existe decisión motivada del órgano de contratación al respecto.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EF5CBC">
        <w:trPr>
          <w:trHeight w:val="15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EF5CBC">
        <w:trPr>
          <w:trHeight w:val="15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proponga la celebración de un contrato con precios provisionales de conformidad con el artículo 102.7 de la Ley de Contratos del Sector Público, que se detallan en la propuesta de adjudicación los extremos contenidos en las letras a), b) y c) del citado precepto. </w:t>
            </w:r>
          </w:p>
        </w:tc>
      </w:tr>
      <w:tr w:rsidR="00EF5CBC" w:rsidRPr="00EF5CBC" w:rsidTr="00EF5CBC">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en su caso, se acredita la constitución de la garantía definitiva. </w:t>
            </w:r>
          </w:p>
        </w:tc>
      </w:tr>
      <w:tr w:rsidR="00EF5CBC" w:rsidRPr="00EF5CBC" w:rsidTr="00EF5CBC">
        <w:trPr>
          <w:trHeight w:val="4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 con las dos siguientes excepciones, en el procedimiento abierto simplificado tramitado conforme al artículo 159.4 de dicha Ley, en el que sólo se examinará que se ha aportado el compromiso al que se refiere el artículo 75.2 de la Ley y en el procedimiento abreviado tramitado conforme al artículo 159.6 de la Ley cuando se haya constituido la Mesa, en el que no procederá la aplicación de este extremo.</w:t>
            </w:r>
          </w:p>
        </w:tc>
      </w:tr>
      <w:tr w:rsidR="00EF5CBC" w:rsidRPr="00EF5CBC" w:rsidTr="00EF5CBC">
        <w:trPr>
          <w:trHeight w:val="2515"/>
        </w:trPr>
        <w:tc>
          <w:tcPr>
            <w:tcW w:w="2918"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Contratos de colaboración con empresarios particulares.                           C) Formalización.</w:t>
            </w: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las medidas cautelares. </w:t>
            </w:r>
          </w:p>
        </w:tc>
      </w:tr>
      <w:tr w:rsidR="00EF5CBC" w:rsidRPr="00EF5CBC" w:rsidTr="00EF5CBC">
        <w:trPr>
          <w:trHeight w:val="15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 Contratos de colaboración con empresarios particulares.                          D) Modificaciones del contrato: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w:t>
            </w:r>
          </w:p>
        </w:tc>
      </w:tr>
      <w:tr w:rsidR="00EF5CBC" w:rsidRPr="00EF5CBC" w:rsidTr="00EF5CBC">
        <w:trPr>
          <w:trHeight w:val="15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informe del Servicio Jurídico y, en su caso, dictamen del Consejo Consultivo competente. </w:t>
            </w:r>
          </w:p>
        </w:tc>
      </w:tr>
      <w:tr w:rsidR="00EF5CBC" w:rsidRPr="00EF5CBC" w:rsidTr="00EF5CBC">
        <w:trPr>
          <w:trHeight w:val="1667"/>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En su caso, que existe proyecto informado por los técnicos municipales y/o por la Oficina de Supervisión de Proyectos. Cuando no exista informe de los técnicos municipales y/o por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3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En su caso, que existe acta de replanteo previo. </w:t>
            </w:r>
          </w:p>
        </w:tc>
      </w:tr>
      <w:tr w:rsidR="00EF5CBC" w:rsidRPr="00EF5CBC" w:rsidTr="00EF5CBC">
        <w:trPr>
          <w:trHeight w:val="9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 Contratos de colaboración con empresarios particulares.                           E) Abonos durante la ejecución de los trabajos: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certificación o documento acreditativo de la realización de los trabajos y su correspondiente valoración, o que se aportan los justificantes de los gastos realizados.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En el caso de que se realicen pagos anticipados, que tal posibilidad estuviera prevista en los pliegos y que el contratista ha aportado la correspondiente garantía.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En su caso, que se aporta factura por la empresa adjudicataria de acuerdo establecido en la normativa reguladora. </w:t>
            </w:r>
          </w:p>
        </w:tc>
      </w:tr>
      <w:tr w:rsidR="00EF5CBC" w:rsidRPr="00EF5CBC" w:rsidTr="00EF5CBC">
        <w:trPr>
          <w:trHeight w:val="2492"/>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el importe acumulado de los abonos a cuenta vaya a ser igual o superior con motivo del siguiente pago al 90 por ciento del precio del contrato, incluidas, en su caso, las modificaciones aprobadas, que se acompaña, cuando resulte preceptiva, comunicación efectuada a la Intervención General de la Administración del Estado para la designación de un representante que asista a la recepción, en el ejercicio de las funciones de comprobación material de la inversión, conforme a lo señalado en el segundo párrafo del artículo 198.2 de la Ley de Contratos del Sector Público. </w:t>
            </w:r>
          </w:p>
        </w:tc>
      </w:tr>
      <w:tr w:rsidR="00EF5CBC" w:rsidRPr="00EF5CBC" w:rsidTr="00EF5CBC">
        <w:trPr>
          <w:trHeight w:val="12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En caso de efectuarse pagos directos a subcontratistas, comprobar que tal posibilidad está contemplada en el pliego de cláusulas administrativas particulares, conforme a la disposición adicional 51</w:t>
            </w:r>
            <w:proofErr w:type="gramStart"/>
            <w:r w:rsidRPr="00EF5CBC">
              <w:rPr>
                <w:rFonts w:ascii="Tahoma" w:hAnsi="Tahoma" w:cs="Tahoma"/>
                <w:color w:val="000000"/>
                <w:sz w:val="20"/>
                <w:szCs w:val="20"/>
              </w:rPr>
              <w:t>.ª</w:t>
            </w:r>
            <w:proofErr w:type="gramEnd"/>
            <w:r w:rsidRPr="00EF5CBC">
              <w:rPr>
                <w:rFonts w:ascii="Tahoma" w:hAnsi="Tahoma" w:cs="Tahoma"/>
                <w:color w:val="000000"/>
                <w:sz w:val="20"/>
                <w:szCs w:val="20"/>
              </w:rPr>
              <w:t xml:space="preserve"> de la Ley de Contratos del Sector Público. </w:t>
            </w:r>
          </w:p>
        </w:tc>
      </w:tr>
      <w:tr w:rsidR="00EF5CBC" w:rsidRPr="00EF5CBC" w:rsidTr="00EF5CBC">
        <w:trPr>
          <w:trHeight w:val="345"/>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1. Contratos de colaboración con empresarios particulares.                               F) Prórroga del contrato: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está prevista en el pliego de cláusulas administrativas particulares.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no se superan los límites de duración previstos por el pliego de cláusulas administrativas particulares o el documento descriptivo. c) Que se acompaña informe del Servicio Jurídico. </w:t>
            </w:r>
          </w:p>
        </w:tc>
      </w:tr>
      <w:tr w:rsidR="00EF5CBC" w:rsidRPr="00EF5CBC" w:rsidTr="00EF5CBC">
        <w:trPr>
          <w:trHeight w:val="1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En el supuesto de que resulte de aplicación lo establecido en el último párrafo del artículo 29.4 de la Ley de Contratos del Sector Público, que consta justificación en el expediente y que se ha publicado el correspondiente anuncio de licitación del nuevo contrato en el plazo señalado en dicho precepto.</w:t>
            </w:r>
          </w:p>
        </w:tc>
      </w:tr>
      <w:tr w:rsidR="00EF5CBC" w:rsidRPr="00EF5CBC" w:rsidTr="00EF5CBC">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 xml:space="preserve">1. Contratos de colaboración con empresarios particulares.                            G) Liquidación: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se acompaña certificación o acta de conformidad de la recepción de las obras, o de los bienes de que se trate.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se aportan los justificantes de los gastos realizados, o las correspondientes relaciones valoradas. </w:t>
            </w:r>
          </w:p>
        </w:tc>
      </w:tr>
      <w:tr w:rsidR="00EF5CBC" w:rsidRPr="00EF5CBC" w:rsidTr="00EF5CBC">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en su caso, existe proyecto informado por los técnicos municipales y/o por la Oficina de Supervisión de Proyectos, si procede. </w:t>
            </w:r>
          </w:p>
        </w:tc>
      </w:tr>
      <w:tr w:rsidR="00EF5CBC" w:rsidRPr="00EF5CBC" w:rsidTr="00EF5CBC">
        <w:trPr>
          <w:trHeight w:val="6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se aporta factura por la empresa adjudicataria de acuerdo con lo previsto en la normativa reguladora de las obligaciones de facturación.</w:t>
            </w:r>
          </w:p>
        </w:tc>
      </w:tr>
      <w:tr w:rsidR="00EF5CBC" w:rsidRPr="00EF5CBC" w:rsidTr="00EF5CBC">
        <w:trPr>
          <w:trHeight w:val="1394"/>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2. Encargos a medios propios personificados previstos en el artículo 32 de la Ley de Contratos del Sector Público.                         A) Encargo: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se reconoce en los estatutos o acto de creación de la entidad destinataria del encargo la condición de medio propio personificado respecto del poder adjudicador que hace el encargo, con el contenido mínimo previsto en la letra d) del artículo 32.2 de la Ley de Contratos del Sector Público. </w:t>
            </w:r>
          </w:p>
        </w:tc>
      </w:tr>
      <w:tr w:rsidR="00EF5CBC" w:rsidRPr="00EF5CBC" w:rsidTr="00EF5CBC">
        <w:trPr>
          <w:trHeight w:val="2659"/>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más del 80 por ciento de las actividades del ente destinatario del encargo se lleven a cabo en el ejercicio de los cometidos que le han sido confiados por el poder adjudicador que hace el encargo, por otros poderes adjudicadores respecto de los que tenga la consideración de medio propio o por otras personas jurídicas controladas por los mismos poderes adjudicadores, de conformidad con lo señalado en la letra b) de los apartados 2 y 4 del artículo 32 de la Ley de Contratos del Sector Público. A estos efectos, se verificará que se hace mención al cumplimiento de esta circunstancia en la Memoria integrante de las últimas Cuentas Anuales auditadas en las que resulte exigible. </w:t>
            </w:r>
          </w:p>
        </w:tc>
      </w:tr>
      <w:tr w:rsidR="00EF5CBC" w:rsidRPr="00EF5CBC" w:rsidTr="00EF5CBC">
        <w:trPr>
          <w:trHeight w:val="46"/>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existe informe del Servicio Jurídico. </w:t>
            </w:r>
          </w:p>
        </w:tc>
      </w:tr>
      <w:tr w:rsidR="00EF5CBC" w:rsidRPr="00EF5CBC" w:rsidTr="00EF5CBC">
        <w:trPr>
          <w:trHeight w:val="1767"/>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en su caso, existe proyecto informado por los técnicos municipales y/o por la Oficina de Supervisión de Proyectos, así como acta de replanteo previo. Cuando no exista informe de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1028"/>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se incorporan los documentos técnicos en los que se definan las actuaciones a realizar así como su correspondiente presupuesto, elaborado de acuerdo con las tarifas aprobadas por la entidad pública de la que dependa el medio propio personificado. </w:t>
            </w:r>
          </w:p>
        </w:tc>
      </w:tr>
      <w:tr w:rsidR="00EF5CBC" w:rsidRPr="00EF5CBC" w:rsidTr="00EF5CBC">
        <w:trPr>
          <w:trHeight w:val="521"/>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Que las prestaciones objeto del encargo estén incluidas en el ámbito de actuación u objeto social de la entidad destinataria del mismo. </w:t>
            </w:r>
          </w:p>
        </w:tc>
      </w:tr>
      <w:tr w:rsidR="00EF5CBC" w:rsidRPr="00EF5CBC" w:rsidTr="00EF5CBC">
        <w:trPr>
          <w:trHeight w:val="1026"/>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g) Que el importe de las prestaciones parciales que el medio propio vaya a contratar con terceros, en su caso, conforme a la propuesta de encargo, no exceda del 50 por ciento de la cuantía del encargo, con las excepciones previstas en el artículo 32.7 de la Ley de Contratos del Sector Público. </w:t>
            </w:r>
          </w:p>
        </w:tc>
      </w:tr>
      <w:tr w:rsidR="00EF5CBC" w:rsidRPr="00EF5CBC" w:rsidTr="00EF5CBC">
        <w:trPr>
          <w:trHeight w:val="619"/>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En el supuesto de que el encargo prevea pagos anticipados, que en el mismo se exige, en su caso, a la entidad encomendada la prestación de garantía suficiente. </w:t>
            </w:r>
          </w:p>
        </w:tc>
      </w:tr>
      <w:tr w:rsidR="00EF5CBC" w:rsidRPr="00EF5CBC" w:rsidTr="00EF5CBC">
        <w:trPr>
          <w:trHeight w:val="3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2. Encargos a medios propios personificados previstos en el artículo 32 de la Ley de Contratos del Sector Público.                            B) Modificaciones del encargo: </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informe del Servicio Jurídico. </w:t>
            </w:r>
          </w:p>
        </w:tc>
      </w:tr>
      <w:tr w:rsidR="00EF5CBC" w:rsidRPr="00EF5CBC" w:rsidTr="00EF5CBC">
        <w:trPr>
          <w:trHeight w:val="1962"/>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En su caso, que existe proyecto informado por los técnicos municipales y/o por la Oficina de Supervisión de Proyectos, así como acta de replanteo previo. Cuando no exista informe de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se incorporan los documentos técnicos en los que se definan las actuaciones a realizar así como su correspondiente presupuesto, elaborado de acuerdo con las tarifas aprobadas por la entidad pública de la que dependa el medio propio personificado. </w:t>
            </w:r>
          </w:p>
        </w:tc>
      </w:tr>
      <w:tr w:rsidR="00EF5CBC" w:rsidRPr="00EF5CBC" w:rsidTr="00EF5CBC">
        <w:trPr>
          <w:trHeight w:val="9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las prestaciones objeto de la modificación del encargo estén incluidas en el ámbito de actuación u objeto social de la entidad destinataria del mismo. </w:t>
            </w:r>
          </w:p>
        </w:tc>
      </w:tr>
      <w:tr w:rsidR="00EF5CBC" w:rsidRPr="00EF5CBC" w:rsidTr="00EF5CBC">
        <w:trPr>
          <w:trHeight w:val="15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el importe de las prestaciones parciales que el medio propio vaya a contratar con terceros, en su caso, conforme a la propuesta de modificación, no exceda del 50 por ciento de la cuantía del encargo inicial y sus modificaciones, con las excepciones previstas en el artículo 32.7 de la Ley de Contratos del Sector Público. </w:t>
            </w:r>
          </w:p>
        </w:tc>
      </w:tr>
      <w:tr w:rsidR="00EF5CBC" w:rsidRPr="00EF5CBC" w:rsidTr="00EF5CBC">
        <w:trPr>
          <w:trHeight w:val="1018"/>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2. Encargos a medios propios personificados previstos en el artículo 32 de la Ley de Contratos del Sector Público.                           C) Abonos durante la ejecución de los trabajos.</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certificación o documento acreditativo de la realización de los trabajos y su correspondiente valoración así como justificación del coste efectivo soportado por el medio propio para las actividades que se subcontraten. </w:t>
            </w:r>
          </w:p>
        </w:tc>
      </w:tr>
      <w:tr w:rsidR="00EF5CBC" w:rsidRPr="00EF5CBC" w:rsidTr="00EF5CBC">
        <w:trPr>
          <w:trHeight w:val="511"/>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En el caso de efectuarse pagos anticipados que se ha prestado, en su caso, la garantía exigida. </w:t>
            </w:r>
          </w:p>
        </w:tc>
      </w:tr>
      <w:tr w:rsidR="00EF5CBC" w:rsidRPr="00EF5CBC" w:rsidTr="00EF5CBC">
        <w:trPr>
          <w:trHeight w:val="9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su caso, que se aporta factura por la entidad destinataria del encargo de acuerdo con lo previsto en la normativa reguladora de las obligaciones de facturación.</w:t>
            </w:r>
          </w:p>
        </w:tc>
      </w:tr>
      <w:tr w:rsidR="00EF5CBC" w:rsidRPr="00EF5CBC" w:rsidTr="00EF5CBC">
        <w:trPr>
          <w:trHeight w:val="1098"/>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2. Encargos a medios propios personificados previstos en el artículo 32 de la </w:t>
            </w:r>
            <w:r w:rsidRPr="00EF5CBC">
              <w:rPr>
                <w:rFonts w:ascii="Tahoma" w:hAnsi="Tahoma" w:cs="Tahoma"/>
                <w:color w:val="000000"/>
                <w:sz w:val="20"/>
                <w:szCs w:val="20"/>
              </w:rPr>
              <w:lastRenderedPageBreak/>
              <w:t>Ley de Contratos del Sector Público.                     D)  Liquidación.</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lastRenderedPageBreak/>
              <w:t xml:space="preserve">a) Que se acompaña certificación o acta de conformidad de las obras, bienes o servicios, así como su correspondiente valoración y, en su caso, justificación del coste efectivo soportado por el medio propio para las actividades subcontratadas. </w:t>
            </w:r>
          </w:p>
        </w:tc>
      </w:tr>
      <w:tr w:rsidR="00EF5CBC" w:rsidRPr="00EF5CBC" w:rsidTr="00EF5CBC">
        <w:trPr>
          <w:trHeight w:val="449"/>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en su caso, existe proyecto informado por los técnicos municipales y/o por la Oficina de Supervisión de Proyectos, si procede. </w:t>
            </w:r>
          </w:p>
        </w:tc>
      </w:tr>
      <w:tr w:rsidR="00EF5CBC" w:rsidRPr="00EF5CBC" w:rsidTr="00EF5CBC">
        <w:trPr>
          <w:trHeight w:val="9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su caso, que se aporta factura por la entidad destinataria del encargo de acuerdo con lo previsto con lo previsto en la normativa reguladora de las obligaciones de facturación.</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Contratos de concesión de obra.  </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4"/>
      </w:tblGrid>
      <w:tr w:rsidR="00EF5CBC" w:rsidRPr="00EF5CBC" w:rsidTr="00EF5CBC">
        <w:trPr>
          <w:trHeight w:val="315"/>
        </w:trPr>
        <w:tc>
          <w:tcPr>
            <w:tcW w:w="2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4" w:type="dxa"/>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EF5CBC">
        <w:trPr>
          <w:trHeight w:val="289"/>
        </w:trPr>
        <w:tc>
          <w:tcPr>
            <w:tcW w:w="9639" w:type="dxa"/>
            <w:gridSpan w:val="2"/>
            <w:tcBorders>
              <w:top w:val="nil"/>
              <w:left w:val="single" w:sz="8" w:space="0" w:color="auto"/>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CONCESIÓN DE OBRAS</w:t>
            </w:r>
          </w:p>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EF5CBC">
        <w:trPr>
          <w:trHeight w:val="6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1. Aprobación del gasto:</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estudio de viabilidad o, en su caso, estudio de viabilidad económico financiera.</w:t>
            </w:r>
          </w:p>
        </w:tc>
      </w:tr>
      <w:tr w:rsidR="00EF5CBC" w:rsidRPr="00EF5CBC" w:rsidTr="00EF5CBC">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anteproyecto de construcción y explotación de las obras, si procede, con inclusión del correspondiente presupuesto que comprenda los gastos de ejecución de las obras. </w:t>
            </w:r>
          </w:p>
        </w:tc>
      </w:tr>
      <w:tr w:rsidR="00EF5CBC" w:rsidRPr="00EF5CBC" w:rsidTr="00EF5CBC">
        <w:trPr>
          <w:trHeight w:val="189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existe proyecto informado por los técnicos municipales y/o por la Oficina de Supervisión de Proyectos, si procede. Cuando no exista informe de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existe pliego de cláusulas administrativas particulares o, en su caso, documento descriptivo, informado por el Servicio Jurídico. </w:t>
            </w:r>
          </w:p>
        </w:tc>
      </w:tr>
      <w:tr w:rsidR="00EF5CBC" w:rsidRPr="00EF5CBC" w:rsidTr="00EF5CBC">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Cuando se utilice modelo de pliego de cláusulas administrativas, verificar que el contrato a celebrar es de naturaleza análoga al informado por el Servicio Jurídico. </w:t>
            </w:r>
          </w:p>
        </w:tc>
      </w:tr>
      <w:tr w:rsidR="00EF5CBC" w:rsidRPr="00EF5CBC" w:rsidTr="00EF5CBC">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f) Que existe acta de replanteo previo. </w:t>
            </w:r>
          </w:p>
        </w:tc>
      </w:tr>
      <w:tr w:rsidR="00EF5CBC" w:rsidRPr="00EF5CBC" w:rsidTr="00EF5CBC">
        <w:trPr>
          <w:trHeight w:val="3106"/>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g) Que el pliego de cláusulas administrativas particulares o el documento descriptivo establece, para la determinación de la mejor oferta, criterios vinculados al objeto del contrato, que se toma en consideración más de un criterio de adjudicación y que cuando figuren una pluralidad de criterios de adjudicación basados en la mejor relación calidad-precio, que se establezcan con arreglo a criterios económicos y cualitativos. Asimismo, cuando se prevea la posibilidad de que se efectúen aportaciones públicas a la construcción o explotación así como cualquier tipo de garantías, avales u otro tipo de ayudas a la empresa, que figura como criterio evaluable de forma automática la cuantía de la reducción que oferten los licitadores sobre las aportaciones previstas en el expediente. </w:t>
            </w:r>
          </w:p>
        </w:tc>
      </w:tr>
      <w:tr w:rsidR="00EF5CBC" w:rsidRPr="00EF5CBC" w:rsidTr="00EF5CBC">
        <w:trPr>
          <w:trHeight w:val="1677"/>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En el caso de que la licitación obedezca a una previa resolución del contrato de concesión por causas no imputables a la Administración, que se establece en el pliego o documento descriptivo como único criterio de adjudicación el precio y que en el expediente se incluye justificación de las reglas seguidas para la fijación del tipo de licitación de acuerdo con lo dispuesto en los artículos 281 y 282 de la Ley de Contratos del Sector Público. </w:t>
            </w:r>
          </w:p>
        </w:tc>
      </w:tr>
      <w:tr w:rsidR="00EF5CBC" w:rsidRPr="00EF5CBC" w:rsidTr="00EF5CBC">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h) Que el pliego de cláusulas administrativas particulares o el documento descriptivo establece los parámetros objetivos para identificar las ofertas anormalmente bajas. </w:t>
            </w:r>
          </w:p>
        </w:tc>
      </w:tr>
      <w:tr w:rsidR="00EF5CBC" w:rsidRPr="00EF5CBC" w:rsidTr="00EF5CBC">
        <w:trPr>
          <w:trHeight w:val="124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i)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EF5CBC">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j) Que el pliego de cláusulas administrativas particulares o el documento descriptivo establece al menos una de las condiciones especiales de ejecución que se enumeran en el artículo 202.2 de la Ley de Contratos del Sector Público. </w:t>
            </w:r>
          </w:p>
        </w:tc>
      </w:tr>
      <w:tr w:rsidR="00EF5CBC" w:rsidRPr="00EF5CBC" w:rsidTr="00EF5CBC">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k)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EF5CBC">
        <w:trPr>
          <w:trHeight w:val="183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l)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verificar que en el documento descriptivo se fija la cuantía de las mismas y que consta la correspondiente retención de crédito. </w:t>
            </w:r>
          </w:p>
        </w:tc>
      </w:tr>
      <w:tr w:rsidR="00EF5CBC" w:rsidRPr="00EF5CBC" w:rsidTr="00EF5CBC">
        <w:trPr>
          <w:trHeight w:val="18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m)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EF5CBC">
        <w:trPr>
          <w:trHeight w:val="15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n)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EF5CBC">
        <w:trPr>
          <w:trHeight w:val="9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o) Que la duración del contrato prevista en el pliego de cláusulas administrativas particulares o el documento descriptivo se ajusta a lo previsto en la Ley de Contratos del Sector Público. </w:t>
            </w:r>
          </w:p>
        </w:tc>
      </w:tr>
      <w:tr w:rsidR="00EF5CBC" w:rsidRPr="00EF5CBC" w:rsidTr="00EF5CBC">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2. Compromiso del gasto.                             Adjudicación:</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Cuando no se adjudique el contrato de acuerdo con la propuesta formulada por la Mesa, que existe decisión motivada del órgano de contratación al respecto. </w:t>
            </w:r>
          </w:p>
        </w:tc>
      </w:tr>
      <w:tr w:rsidR="00EF5CBC" w:rsidRPr="00EF5CBC" w:rsidTr="00EF5CBC">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EF5CBC">
        <w:trPr>
          <w:trHeight w:val="15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EF5CBC">
        <w:trPr>
          <w:trHeight w:val="123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Cuando se proponga la celebración de un contrato con precios provisionales de conformidad con el artículo 102.7 de la Ley de Contratos del Sector Público, que se detallan en la propuesta de adjudicación los extremos previstos en las letras a), b) y c) del citado precepto. </w:t>
            </w:r>
          </w:p>
        </w:tc>
      </w:tr>
      <w:tr w:rsidR="00EF5CBC" w:rsidRPr="00EF5CBC" w:rsidTr="00EF5CBC">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se acredita la constitución de la garantía definitiva. </w:t>
            </w:r>
          </w:p>
        </w:tc>
      </w:tr>
      <w:tr w:rsidR="00EF5CBC" w:rsidRPr="00EF5CBC" w:rsidTr="00EF5CBC">
        <w:trPr>
          <w:trHeight w:val="27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w:t>
            </w:r>
          </w:p>
        </w:tc>
      </w:tr>
      <w:tr w:rsidR="00EF5CBC" w:rsidRPr="00EF5CBC" w:rsidTr="00EF5CBC">
        <w:trPr>
          <w:trHeight w:val="2386"/>
        </w:trPr>
        <w:tc>
          <w:tcPr>
            <w:tcW w:w="2915"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3. Formalización:</w:t>
            </w: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 medida cautelar.</w:t>
            </w:r>
          </w:p>
        </w:tc>
      </w:tr>
      <w:tr w:rsidR="00EF5CBC" w:rsidRPr="00EF5CBC" w:rsidTr="00EF5CBC">
        <w:trPr>
          <w:trHeight w:val="252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4. Modificados:</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w:t>
            </w:r>
          </w:p>
        </w:tc>
      </w:tr>
      <w:tr w:rsidR="00EF5CBC" w:rsidRPr="00EF5CBC" w:rsidTr="00EF5CBC">
        <w:trPr>
          <w:trHeight w:val="786"/>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su caso, se acompaña informe técnico justificativo de que concurren las circunstancias previstas en la letra b) o en el penúltimo párrafo del apartado 2 del artículo 270 de la Ley de Contratos del Sector Público.</w:t>
            </w:r>
          </w:p>
        </w:tc>
      </w:tr>
      <w:tr w:rsidR="00EF5CBC" w:rsidRPr="00EF5CBC" w:rsidTr="00EF5CBC">
        <w:trPr>
          <w:trHeight w:val="1702"/>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Que, en su caso, existe proyecto informado por los técnicos municipales y/o por la Oficina de Supervisión de Proyectos, si procede. Cuando no exista informe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EF5CBC">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d) Que, en su caso, existe acta de replanteo previo. </w:t>
            </w:r>
          </w:p>
        </w:tc>
      </w:tr>
      <w:tr w:rsidR="00EF5CBC" w:rsidRPr="00EF5CBC" w:rsidTr="00EF5CBC">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e) Que existe informe del Servicio Jurídico y, en su caso, dictamen del Consejo Consultivo competente. </w:t>
            </w:r>
          </w:p>
        </w:tc>
      </w:tr>
      <w:tr w:rsidR="00EF5CBC" w:rsidRPr="00EF5CBC" w:rsidTr="00EF5CBC">
        <w:trPr>
          <w:trHeight w:val="6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Que se ha dado audiencia al adjudicatario y, en su caso, que consta su conformidad.</w:t>
            </w:r>
          </w:p>
        </w:tc>
      </w:tr>
      <w:tr w:rsidR="00EF5CBC" w:rsidRPr="00EF5CBC" w:rsidTr="00EF5CBC">
        <w:trPr>
          <w:trHeight w:val="1679"/>
        </w:trPr>
        <w:tc>
          <w:tcPr>
            <w:tcW w:w="2915"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5. Revisiones de precios (aprobación del gasto).</w:t>
            </w: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Que, en los contratos en los que pueda preverse la revisión de precios, se cumplen los requisitos recogidos en el artículo 103.5 de la Ley de Contratos del Sector Público y que el pliego de cláusulas administrativas particulares establece la fórmula de revisión aplicable. En el caso de que para el contrato que se trate se haya aprobado una fórmula tipo, se verificará que no se incluye otra fórmula de revisión diferente en los pliegos.</w:t>
            </w:r>
          </w:p>
        </w:tc>
      </w:tr>
      <w:tr w:rsidR="00EF5CBC" w:rsidRPr="00EF5CBC" w:rsidTr="00EF5CBC">
        <w:trPr>
          <w:trHeight w:val="66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6. Financiación parcial de la construcción de la obra por parte de la Administración:                    A) Abonos por aportaciones durante la construcción:</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certificación, autorizada por el facultativo Director de la obra y con la conformidad de los servicios correspondientes del órgano gestor.</w:t>
            </w:r>
          </w:p>
        </w:tc>
      </w:tr>
      <w:tr w:rsidR="00EF5CBC" w:rsidRPr="00EF5CBC" w:rsidTr="00EF5CBC">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la aportación pública está prevista en el pliego o documento descriptivo.</w:t>
            </w:r>
          </w:p>
        </w:tc>
      </w:tr>
      <w:tr w:rsidR="00EF5CBC" w:rsidRPr="00EF5CBC" w:rsidTr="00EF5CBC">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caso de efectuarse anticipos de los previstos en el artículo 240.2 de la Ley de Contratos del Sector Público, que tal posibilidad está contemplada en el pliego de cláusulas administrativas particulares y que se ha prestado la garantía exigida.</w:t>
            </w:r>
          </w:p>
        </w:tc>
      </w:tr>
      <w:tr w:rsidR="00EF5CBC" w:rsidRPr="00EF5CBC" w:rsidTr="00EF5CBC">
        <w:trPr>
          <w:trHeight w:val="1111"/>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Cuando la certificación de obra incluya revisión de precios, para su abono, comprobar que se cumplen los requisitos exigidos por el artículo 103.5 de la Ley de Contratos del Sector Público y que se aplica la fórmula de revisión prevista en el pliego de cláusulas administrativas particulares.</w:t>
            </w:r>
          </w:p>
        </w:tc>
      </w:tr>
      <w:tr w:rsidR="00EF5CBC" w:rsidRPr="00EF5CBC" w:rsidTr="00EF5CBC">
        <w:trPr>
          <w:trHeight w:val="1398"/>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e) En el caso de la certificación final, que está autorizada por el facultativo Director de la obra, que existe informe de la Oficina de Supervisión de Proyectos, si procede, y que se acompaña acta de comprobación a la que se refiere el artículo 256. Asimismo, cuando se incluya revisión de precios, para su abono, comprobar que se cumplen los requisitos exigidos por el artículo 103.5 de la Ley de Contratos del Sector Público y que se aplica la fórmula de revisión prevista en el pliego de cláusulas administrativas particulares.</w:t>
            </w:r>
          </w:p>
        </w:tc>
      </w:tr>
      <w:tr w:rsidR="00EF5CBC" w:rsidRPr="00EF5CBC" w:rsidTr="00EF5CBC">
        <w:trPr>
          <w:trHeight w:val="2475"/>
        </w:trPr>
        <w:tc>
          <w:tcPr>
            <w:tcW w:w="2915" w:type="dxa"/>
            <w:tcBorders>
              <w:top w:val="nil"/>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6.  Financiación parcial de la construcción de la obra por parte de la Administración:                    B) Abonos por aportaciones al término de la construcción:</w:t>
            </w:r>
          </w:p>
        </w:tc>
        <w:tc>
          <w:tcPr>
            <w:tcW w:w="6724" w:type="dxa"/>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Que existe acta de comprobación y que la aportación pública está prevista en el pliego o documento descriptivo.</w:t>
            </w:r>
          </w:p>
        </w:tc>
      </w:tr>
      <w:tr w:rsidR="00EF5CBC" w:rsidRPr="00EF5CBC" w:rsidTr="00EF5CBC">
        <w:trPr>
          <w:trHeight w:val="3615"/>
        </w:trPr>
        <w:tc>
          <w:tcPr>
            <w:tcW w:w="2915" w:type="dxa"/>
            <w:tcBorders>
              <w:top w:val="single" w:sz="8" w:space="0" w:color="auto"/>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Contrato de concesión de obras.                                        6. Financiación parcial de la construcción de la obra por parte de la Administración:                    C) Abonos en caso de que la financiación de la construcción de la obra se realice a través de subvenciones o préstamos reintegrables, de acuerdo con el artículo 265 LCSP:</w:t>
            </w:r>
          </w:p>
        </w:tc>
        <w:tc>
          <w:tcPr>
            <w:tcW w:w="6724" w:type="dxa"/>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Se comprobarán los extremos previstos la regla cinco del presente Acuerdo y que la aportación pública está prevista en el pliego o documento descriptivo.</w:t>
            </w:r>
          </w:p>
        </w:tc>
      </w:tr>
      <w:tr w:rsidR="00EF5CBC" w:rsidRPr="00EF5CBC" w:rsidTr="00EF5CBC">
        <w:trPr>
          <w:trHeight w:val="1200"/>
        </w:trPr>
        <w:tc>
          <w:tcPr>
            <w:tcW w:w="2915" w:type="dxa"/>
            <w:vMerge w:val="restart"/>
            <w:tcBorders>
              <w:top w:val="single" w:sz="8"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7. Abono al concesionario de la retribución por la utilización de la obra:</w:t>
            </w:r>
          </w:p>
        </w:tc>
        <w:tc>
          <w:tcPr>
            <w:tcW w:w="6724" w:type="dxa"/>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Cuando se incluya revisión de precios, para su abono, comprobar que se cumplen los requisitos exigidos por el artículo 103.5 de la Ley de Contratos del Sector Público y que se aplica la fórmula de revisión prevista en el pliego de cláusulas administrativas particulares.</w:t>
            </w:r>
          </w:p>
        </w:tc>
      </w:tr>
      <w:tr w:rsidR="00EF5CBC" w:rsidRPr="00EF5CBC" w:rsidTr="00EF5CBC">
        <w:trPr>
          <w:trHeight w:val="600"/>
        </w:trPr>
        <w:tc>
          <w:tcPr>
            <w:tcW w:w="2915"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se aporta factura por la empresa adjudicataria de acuerdo con la normativa vigente.</w:t>
            </w:r>
          </w:p>
        </w:tc>
      </w:tr>
      <w:tr w:rsidR="00EF5CBC" w:rsidRPr="00EF5CBC" w:rsidTr="00EF5CBC">
        <w:trPr>
          <w:trHeight w:val="915"/>
        </w:trPr>
        <w:tc>
          <w:tcPr>
            <w:tcW w:w="2915"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el caso de que la retribución se efectúe mediante pagos por disponibilidad, que se aplican los índices de corrección automáticos por nivel de disponibilidad previstos en el pliego, cuando proceda.</w:t>
            </w:r>
          </w:p>
        </w:tc>
      </w:tr>
      <w:tr w:rsidR="00EF5CBC" w:rsidRPr="00EF5CBC" w:rsidTr="00EF5CBC">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8. Pago de intereses de demora e indemnizaciones por costes de cobro y otras indemnizaciones a favor del contratista:</w:t>
            </w:r>
          </w:p>
        </w:tc>
        <w:tc>
          <w:tcPr>
            <w:tcW w:w="6724" w:type="dxa"/>
            <w:tcBorders>
              <w:top w:val="single" w:sz="8" w:space="0" w:color="auto"/>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del Servicio Jurídico.</w:t>
            </w:r>
          </w:p>
        </w:tc>
      </w:tr>
      <w:tr w:rsidR="00EF5CBC" w:rsidRPr="00EF5CBC" w:rsidTr="00EF5CBC">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b) Que existe informe técnico. </w:t>
            </w:r>
          </w:p>
        </w:tc>
      </w:tr>
      <w:tr w:rsidR="00EF5CBC" w:rsidRPr="00EF5CBC" w:rsidTr="00EF5CBC">
        <w:trPr>
          <w:trHeight w:val="36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en su caso, existe dictamen del Consejo Consultivo competente.</w:t>
            </w:r>
          </w:p>
        </w:tc>
      </w:tr>
      <w:tr w:rsidR="00EF5CBC" w:rsidRPr="00EF5CBC" w:rsidTr="00EF5CBC">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existe resolución de la solicitud de abono de intereses.</w:t>
            </w:r>
          </w:p>
        </w:tc>
      </w:tr>
      <w:tr w:rsidR="00EF5CBC" w:rsidRPr="00EF5CBC" w:rsidTr="00EF5CBC">
        <w:trPr>
          <w:trHeight w:val="619"/>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consta la audiencia al contratista.</w:t>
            </w:r>
          </w:p>
        </w:tc>
      </w:tr>
      <w:tr w:rsidR="00EF5CBC" w:rsidRPr="00EF5CBC" w:rsidTr="00EF5CBC">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 de concesión de obras.                                      9. Resolución del contrato:</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en su caso, existe informe del Servicio Jurídico. </w:t>
            </w:r>
          </w:p>
        </w:tc>
      </w:tr>
      <w:tr w:rsidR="00EF5CBC" w:rsidRPr="00EF5CBC" w:rsidTr="00EF5CBC">
        <w:trPr>
          <w:trHeight w:val="6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su caso, existe dictamen del Consejo Consultivo competente.</w:t>
            </w:r>
          </w:p>
        </w:tc>
      </w:tr>
      <w:tr w:rsidR="00EF5CBC" w:rsidRPr="00EF5CBC" w:rsidTr="00EF5CBC">
        <w:trPr>
          <w:trHeight w:val="598"/>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 xml:space="preserve">Contrato de concesión de obras.                                      10. Pago al autor del estudio de viabilidad que no hubiese resultado adjudicatario de la correspondiente concesión: </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el pliego de cláusulas administrativas particulares no prevé que el pago de la compensación sea realizado por el adjudicatario de la concesión. </w:t>
            </w:r>
          </w:p>
        </w:tc>
      </w:tr>
      <w:tr w:rsidR="00EF5CBC" w:rsidRPr="00EF5CBC" w:rsidTr="00EF5CBC">
        <w:trPr>
          <w:trHeight w:val="118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se aportan los justificantes de los gastos realizados.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Contratos de concesión de servicios. </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4"/>
      </w:tblGrid>
      <w:tr w:rsidR="00EF5CBC" w:rsidRPr="00EF5CBC" w:rsidTr="00C61E2B">
        <w:trPr>
          <w:trHeight w:val="315"/>
        </w:trPr>
        <w:tc>
          <w:tcPr>
            <w:tcW w:w="2915" w:type="dxa"/>
            <w:tcBorders>
              <w:top w:val="single" w:sz="4" w:space="0" w:color="auto"/>
              <w:left w:val="single" w:sz="8" w:space="0" w:color="auto"/>
              <w:bottom w:val="single" w:sz="8" w:space="0" w:color="auto"/>
              <w:right w:val="single" w:sz="4"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4" w:type="dxa"/>
            <w:tcBorders>
              <w:top w:val="single" w:sz="4"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253"/>
        </w:trPr>
        <w:tc>
          <w:tcPr>
            <w:tcW w:w="9639" w:type="dxa"/>
            <w:gridSpan w:val="2"/>
            <w:tcBorders>
              <w:top w:val="nil"/>
              <w:left w:val="single" w:sz="8" w:space="0" w:color="auto"/>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CONCESIÓN DE SERVICIOS</w:t>
            </w:r>
          </w:p>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1396"/>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1. Aprobación del gasto:</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incorpora el régimen jurídico que declare que la actividad de que se trata queda asumida por la Administración respectiva como propia de la misma, fijando las prestaciones en favor de los administrados y regulando los aspectos de carácter jurídico, económico y administrativo relativos a la prestación del servicio.</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existe estudio de viabilidad o, en su caso, estudio de viabilidad económico-financiera.</w:t>
            </w:r>
          </w:p>
        </w:tc>
      </w:tr>
      <w:tr w:rsidR="00EF5CBC" w:rsidRPr="00EF5CBC" w:rsidTr="00C61E2B">
        <w:trPr>
          <w:trHeight w:val="11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c) Cuando comprenda la ejecución de obras, que existe anteproyecto de construcción y explotación de las obra, si procede, con inclusión del correspondiente presupuesto que comprenda los gastos de ejecución de las obras. </w:t>
            </w:r>
          </w:p>
        </w:tc>
      </w:tr>
      <w:tr w:rsidR="00EF5CBC" w:rsidRPr="00EF5CBC" w:rsidTr="00C61E2B">
        <w:trPr>
          <w:trHeight w:val="1922"/>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d) Cuando comprenda la ejecución de obras, que existe proyecto informado por los técnicos municipales y/o por la Oficina de Supervisión de Proyectos, si procede. Cuando no exista informe de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e) Cuando comprenda la ejecución de obras, que existe acta de replanteo previo. </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f) Que existe pliego de cláusulas administrativas particulares o, en su caso, documento descriptivo, informado por el Servicio Jurídico. </w:t>
            </w:r>
          </w:p>
        </w:tc>
      </w:tr>
      <w:tr w:rsidR="00EF5CBC" w:rsidRPr="00EF5CBC" w:rsidTr="00C61E2B">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g) Cuando se utilice modelo de pliego de cláusulas administrativas, verificar que el contrato a celebrar es de naturaleza análoga al informado por el Servicio Jurídico. </w:t>
            </w:r>
          </w:p>
        </w:tc>
      </w:tr>
      <w:tr w:rsidR="00EF5CBC" w:rsidRPr="00EF5CBC" w:rsidTr="00C61E2B">
        <w:trPr>
          <w:trHeight w:val="3052"/>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h) Que el pliego de cláusulas administrativas particulares o el documento descriptivo establece, para la determinación de la mejor oferta, criterios vinculados al objeto del contrato, que se toma en consideración más de un criterio de adjudicación y que cuando figuren una pluralidad de criterios de adjudicación basados en la mejor relación calidad-precio, que se establezcan con arreglo a criterios económicos y cualitativos. Asimismo, cuando se prevea la posibilidad de que se efectúen aportaciones públicas a la construcción o explotación así como cualquier tipo de garantías, avales u otro tipo de ayudas a la empresa, que figura como criterio evaluable de forma automática la cuantía de la reducción que oferten los licitadores sobre las aportaciones previstas en el expediente. </w:t>
            </w:r>
          </w:p>
        </w:tc>
      </w:tr>
      <w:tr w:rsidR="00EF5CBC" w:rsidRPr="00EF5CBC" w:rsidTr="00C61E2B">
        <w:trPr>
          <w:trHeight w:val="1677"/>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En el caso de que la licitación obedezca a una previa resolución del contrato de concesión por causas no imputables a la Administración, que se establece en el pliego o documento descriptivo como único criterio de adjudicación el precio y que en el expediente se incluye justificación de las reglas seguidas para la fijación del tipo de licitación de acuerdo con lo dispuesto en los artículos 281 y 282 de la Ley de Contratos del Sector Público. </w:t>
            </w:r>
          </w:p>
        </w:tc>
      </w:tr>
      <w:tr w:rsidR="00EF5CBC" w:rsidRPr="00EF5CBC" w:rsidTr="00C61E2B">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i) Que el pliego de cláusulas administrativas particulares o el documento descriptivo establece los parámetros objetivos para identificar las ofertas anormalmente bajas. </w:t>
            </w:r>
          </w:p>
        </w:tc>
      </w:tr>
      <w:tr w:rsidR="00EF5CBC" w:rsidRPr="00EF5CBC" w:rsidTr="00C61E2B">
        <w:trPr>
          <w:trHeight w:val="1048"/>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j) Que el pliego de cláusulas administrativas particulares o el documento descriptivo prevé, cuando proceda, que la documentación relativa a los criterios cuya ponderación dependa de un juicio de valor ha de presentarse en sobre o archivo electrónico independiente del resto de la proposición. </w:t>
            </w:r>
          </w:p>
        </w:tc>
      </w:tr>
      <w:tr w:rsidR="00EF5CBC" w:rsidRPr="00EF5CBC" w:rsidTr="00C61E2B">
        <w:trPr>
          <w:trHeight w:val="942"/>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k) Que el pliego de cláusulas administrativas particulares o el documento descriptivo establece al menos una de las condiciones especiales de ejecución que se enumeran en el artículo 202.2 de la Ley de Contratos del Sector Público. </w:t>
            </w:r>
          </w:p>
        </w:tc>
      </w:tr>
      <w:tr w:rsidR="00EF5CBC" w:rsidRPr="00EF5CBC" w:rsidTr="00C61E2B">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l) Cuando se proponga como procedimiento de adjudicación un procedimiento con negociación, comprobar que concurre alguno de los supuestos previstos en los artículos 167 o 168 de la Ley de Contratos del Sector Público para utilizar dicho procedimiento. </w:t>
            </w:r>
          </w:p>
        </w:tc>
      </w:tr>
      <w:tr w:rsidR="00EF5CBC" w:rsidRPr="00EF5CBC" w:rsidTr="00C61E2B">
        <w:trPr>
          <w:trHeight w:val="1607"/>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m) Cuando se proponga como procedimiento de adjudicación el diálogo competitivo, verificar que se cumple alguno de los supuestos de aplicación del artículo 167 de la Ley de Contratos del Sector Público, y, en el caso de que se reconozcan primas o compensaciones a los participantes, verificar que en el documento descriptivo se fija la cuantía de las mismas y que consta la correspondiente retención de crédito. </w:t>
            </w:r>
          </w:p>
        </w:tc>
      </w:tr>
      <w:tr w:rsidR="00EF5CBC" w:rsidRPr="00EF5CBC" w:rsidTr="00C61E2B">
        <w:trPr>
          <w:trHeight w:val="18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n) Cuando se prevea en el pliego de cláusulas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 </w:t>
            </w:r>
          </w:p>
        </w:tc>
      </w:tr>
      <w:tr w:rsidR="00EF5CBC" w:rsidRPr="00EF5CBC" w:rsidTr="00C61E2B">
        <w:trPr>
          <w:trHeight w:val="15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o) Cuando se prevea en el pliego de cláusulas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 </w:t>
            </w:r>
          </w:p>
        </w:tc>
      </w:tr>
      <w:tr w:rsidR="00EF5CBC" w:rsidRPr="00EF5CBC" w:rsidTr="00C61E2B">
        <w:trPr>
          <w:trHeight w:val="96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p) Que la duración del contrato prevista en el pliego de cláusulas administrativas particulares o el documento descriptivo se ajusta a lo previsto en la Ley de Contratos del Sector Público. </w:t>
            </w:r>
          </w:p>
        </w:tc>
      </w:tr>
      <w:tr w:rsidR="00EF5CBC" w:rsidRPr="00EF5CBC" w:rsidTr="00C61E2B">
        <w:trPr>
          <w:trHeight w:val="3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q) Que exista un informe del servicio jurídico.</w:t>
            </w:r>
          </w:p>
        </w:tc>
      </w:tr>
      <w:tr w:rsidR="00EF5CBC" w:rsidRPr="00EF5CBC" w:rsidTr="00C61E2B">
        <w:trPr>
          <w:trHeight w:val="9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 xml:space="preserve">Contrato de Concesión de Servicios.               </w:t>
            </w:r>
          </w:p>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 xml:space="preserve"> 2. Compromiso del gasto.   Adjudicación:</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a) Cuando no se adjudique el contrato de acuerdo con la propuesta formulada por la Mesa, que existe decisión motivada del órgano de contratación al respecto. </w:t>
            </w:r>
          </w:p>
        </w:tc>
      </w:tr>
      <w:tr w:rsidR="00EF5CBC" w:rsidRPr="00EF5CBC" w:rsidTr="00C61E2B">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b) Cuando se declare la existencia de ofertas incursas en presunción de anormalidad, que existe constancia de la solicitud de la información a los licitadores que las hubiesen presentado y del informe del servicio técnico correspondiente. </w:t>
            </w:r>
          </w:p>
        </w:tc>
      </w:tr>
      <w:tr w:rsidR="00EF5CBC" w:rsidRPr="00EF5CBC" w:rsidTr="00C61E2B">
        <w:trPr>
          <w:trHeight w:val="15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c) Cuando se utilice un procedimiento con negociación, que existe constancia en el expediente de las invitaciones cursadas, de las ofertas recibidas, de las razones para su aceptación o rechazo y de las ventajas obtenidas en la negociación, de conformidad con lo dispuesto en la Ley de Contratos del Sector Público. </w:t>
            </w:r>
          </w:p>
        </w:tc>
      </w:tr>
      <w:tr w:rsidR="00EF5CBC" w:rsidRPr="00EF5CBC" w:rsidTr="00C61E2B">
        <w:trPr>
          <w:trHeight w:val="123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d) Cuando se proponga la celebración de un contrato con precios provisionales de conformidad con el artículo 102.7 de la Ley de Contratos del Sector Público, que se detallan en la propuesta de adjudicación los extremos previstos en las letras a), b) y c) del citado precepto. </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e) Que se acredita la constitución de la garantía definitiva. </w:t>
            </w:r>
          </w:p>
        </w:tc>
      </w:tr>
      <w:tr w:rsidR="00EF5CBC" w:rsidRPr="00EF5CBC" w:rsidTr="00C61E2B">
        <w:trPr>
          <w:trHeight w:val="27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Que se acredita que el licitador que se propone como adjudicatario ha presentado la documentación justificativa de las circunstancias a que se refieren las letras a) a c) del artículo 140.1 de la Ley de Contratos del Sector Público que procedan, incluyendo en su caso la de aquellas otras empresas a cuyas capacidades se recurra; o bien, que se acredita la verificación de alguna o todas esas circunstancias mediante certificado del Registro Oficial de Licitadores y Empresas Clasificadas del Sector Público o de la correspondiente base de datos nacional de un Estado miembro de la Unión Europea.</w:t>
            </w:r>
          </w:p>
        </w:tc>
      </w:tr>
      <w:tr w:rsidR="00EF5CBC" w:rsidRPr="00EF5CBC" w:rsidTr="00C61E2B">
        <w:trPr>
          <w:trHeight w:val="6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g) En su caso, que se ha incorporado la documentación acreditativa de la disponibilidad de los terrenos.</w:t>
            </w:r>
          </w:p>
        </w:tc>
      </w:tr>
      <w:tr w:rsidR="00EF5CBC" w:rsidRPr="00EF5CBC" w:rsidTr="00C61E2B">
        <w:trPr>
          <w:trHeight w:val="2760"/>
        </w:trPr>
        <w:tc>
          <w:tcPr>
            <w:tcW w:w="2915"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3. Formalización:</w:t>
            </w: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En su caso, que se acompaña certificado del órgano de contratación, que acredite que no se ha interpuesto recurso especial en materia de contratación contra la adjudicación o de los recursos interpuestos, o bien, certificado de no haberse acordado medida cautelar que suspenda el procedimiento. En el supuesto de que se hubiese interpuesto recurso contra la adjudicación, deberá comprobarse igualmente que ha recaído resolución expresa del órgano que ha de resolver el recurso, ya sea desestimando el recurso o recursos interpuestos, o acordando el levantamiento de la suspensión o de la medida cautelar.</w:t>
            </w:r>
          </w:p>
        </w:tc>
      </w:tr>
      <w:tr w:rsidR="00EF5CBC" w:rsidRPr="00EF5CBC" w:rsidTr="00C61E2B">
        <w:trPr>
          <w:trHeight w:val="27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4. Modificados:</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a) En el caso de modificaciones previstas según el artículo 204 de la Ley de Contratos del Sector Público, que la posibilidad de modificar el contrato se encuentra prevista en los pliegos, que no supera el límite previsto en los mismos y que no se incluyen nuevos precios unitarios no previstos en el contrato. En el caso de modificaciones no previstas, o que no se ajusten a lo establecido en el artículo 204, que se acompaña informe técnico justificativo de los extremos previstos en el artículo 205 de la Ley de Contratos del Sector Público y que no se superan los porcentajes máximos previstos en dicho artículo. </w:t>
            </w:r>
          </w:p>
        </w:tc>
      </w:tr>
      <w:tr w:rsidR="00EF5CBC" w:rsidRPr="00EF5CBC" w:rsidTr="00C61E2B">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en su caso, se acompaña informe técnico justificativo de que concurren las circunstancias previstas en la letra b) o en el penúltimo párrafo del apartado 4 del artículo 290 de la Ley de Contratos del Sector Público.</w:t>
            </w:r>
          </w:p>
        </w:tc>
      </w:tr>
      <w:tr w:rsidR="00EF5CBC" w:rsidRPr="00EF5CBC" w:rsidTr="00C61E2B">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en su caso, se acompaña informe técnico justificativo de que concurren las circunstancias previstas en el artículo 290 de la Ley de Contratos del Sector Público.</w:t>
            </w:r>
          </w:p>
        </w:tc>
      </w:tr>
      <w:tr w:rsidR="00EF5CBC" w:rsidRPr="00EF5CBC" w:rsidTr="00C61E2B">
        <w:trPr>
          <w:trHeight w:val="21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d) Que, en su caso, existe proyecto informado por los técnicos municipales y/o por la Oficina de Supervisión de Proyectos, si procede. Cuando no exista informe los técnicos municipales y/o de la Oficina de Supervisión de Proyectos, y no resulte procedente por razón de la cuantía, que al expediente se incorpora pronunciamiento expreso de que las obras del proyecto no afectan a la estabilidad, seguridad o estanqueidad de la obra. </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e) Que, en su caso, existe acta de replanteo previo. </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f) Que existe informe del Servicio Jurídico y, en su caso, dictamen del Consejo Consultivo competente. </w:t>
            </w:r>
          </w:p>
        </w:tc>
      </w:tr>
      <w:tr w:rsidR="00EF5CBC" w:rsidRPr="00EF5CBC" w:rsidTr="00C61E2B">
        <w:trPr>
          <w:trHeight w:val="6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g) Que se ha dado audiencia al adjudicatario y, en su caso, que consta su conformidad.</w:t>
            </w:r>
          </w:p>
        </w:tc>
      </w:tr>
      <w:tr w:rsidR="00EF5CBC" w:rsidRPr="00EF5CBC" w:rsidTr="00C61E2B">
        <w:trPr>
          <w:trHeight w:val="21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5. Revisiones de precios (aprobación del gasto).</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en los contratos en los que pueda preverse la revisión de precios, se cumplen los requisitos recogidos en el artículo 103.5 de la Ley de Contratos del Sector Público y que el pliego de cláusulas administrativas particulares establece la fórmula de revisión aplicable. En el caso de que para el contrato que se trate se haya aprobado una fórmula tipo, se verificará que no se incluye otra fórmula de revisión diferente en los pliegos.</w:t>
            </w:r>
          </w:p>
        </w:tc>
      </w:tr>
      <w:tr w:rsidR="00EF5CBC" w:rsidRPr="00EF5CBC" w:rsidTr="00C61E2B">
        <w:trPr>
          <w:trHeight w:val="3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exista informe del Servicio Jurídico.</w:t>
            </w:r>
          </w:p>
        </w:tc>
      </w:tr>
      <w:tr w:rsidR="00EF5CBC" w:rsidRPr="00EF5CBC" w:rsidTr="00C61E2B">
        <w:trPr>
          <w:trHeight w:val="9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6. Liquidación.</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existe certificación o documento acreditativo de la realización de los trabajos y su correspondiente valoración, o que se aportan los justificantes de los gastos realizados.</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se aporta factura por la empresa adjudicataria de acuerdo con la normativa vigente.</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c) Cuando la liquidación excepcionalmente incluya revisión de precios se comprobará que: </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i) han transcurrido dos años desde la formalización del contrato. </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proofErr w:type="spellStart"/>
            <w:r w:rsidRPr="00EF5CBC">
              <w:rPr>
                <w:rFonts w:ascii="Tahoma" w:hAnsi="Tahoma" w:cs="Tahoma"/>
                <w:color w:val="0070C0"/>
                <w:sz w:val="20"/>
                <w:szCs w:val="20"/>
              </w:rPr>
              <w:t>ii</w:t>
            </w:r>
            <w:proofErr w:type="spellEnd"/>
            <w:r w:rsidRPr="00EF5CBC">
              <w:rPr>
                <w:rFonts w:ascii="Tahoma" w:hAnsi="Tahoma" w:cs="Tahoma"/>
                <w:color w:val="0070C0"/>
                <w:sz w:val="20"/>
                <w:szCs w:val="20"/>
              </w:rPr>
              <w:t xml:space="preserve">) se aplica la fórmula recogida en el pliego, </w:t>
            </w:r>
          </w:p>
        </w:tc>
      </w:tr>
      <w:tr w:rsidR="00EF5CBC" w:rsidRPr="00EF5CBC" w:rsidTr="00C61E2B">
        <w:trPr>
          <w:trHeight w:val="130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proofErr w:type="spellStart"/>
            <w:r w:rsidRPr="00EF5CBC">
              <w:rPr>
                <w:rFonts w:ascii="Tahoma" w:hAnsi="Tahoma" w:cs="Tahoma"/>
                <w:color w:val="0070C0"/>
                <w:sz w:val="20"/>
                <w:szCs w:val="20"/>
              </w:rPr>
              <w:t>iii</w:t>
            </w:r>
            <w:proofErr w:type="spellEnd"/>
            <w:r w:rsidRPr="00EF5CBC">
              <w:rPr>
                <w:rFonts w:ascii="Tahoma" w:hAnsi="Tahoma" w:cs="Tahoma"/>
                <w:color w:val="0070C0"/>
                <w:sz w:val="20"/>
                <w:szCs w:val="20"/>
              </w:rPr>
              <w:t>) la revisión de precios se efectúa en cada fecha respecto a la fecha de formalización del contrato, siempre que la formalización se produzca en el plazo de tres meses desde la finalización del plazo de presentación de ofertas, o respecto a la fecha en que termine dicho plazo de tres meses si la formalización se produce con posterioridad.</w:t>
            </w:r>
          </w:p>
        </w:tc>
      </w:tr>
      <w:tr w:rsidR="00EF5CBC" w:rsidRPr="00EF5CBC" w:rsidTr="00C61E2B">
        <w:trPr>
          <w:trHeight w:val="3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proofErr w:type="spellStart"/>
            <w:r w:rsidRPr="00EF5CBC">
              <w:rPr>
                <w:rFonts w:ascii="Tahoma" w:hAnsi="Tahoma" w:cs="Tahoma"/>
                <w:color w:val="0070C0"/>
                <w:sz w:val="20"/>
                <w:szCs w:val="20"/>
              </w:rPr>
              <w:t>iv</w:t>
            </w:r>
            <w:proofErr w:type="spellEnd"/>
            <w:r w:rsidRPr="00EF5CBC">
              <w:rPr>
                <w:rFonts w:ascii="Tahoma" w:hAnsi="Tahoma" w:cs="Tahoma"/>
                <w:color w:val="0070C0"/>
                <w:sz w:val="20"/>
                <w:szCs w:val="20"/>
              </w:rPr>
              <w:t>) la corrección de los cálculos efectuados.</w:t>
            </w:r>
          </w:p>
        </w:tc>
      </w:tr>
      <w:tr w:rsidR="00EF5CBC" w:rsidRPr="00EF5CBC" w:rsidTr="00C61E2B">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 xml:space="preserve">Contrato de Concesión de Servicios.                                 7. Pago de </w:t>
            </w:r>
            <w:r w:rsidRPr="00EF5CBC">
              <w:rPr>
                <w:rFonts w:ascii="Tahoma" w:hAnsi="Tahoma" w:cs="Tahoma"/>
                <w:color w:val="0070C0"/>
                <w:sz w:val="20"/>
                <w:szCs w:val="20"/>
              </w:rPr>
              <w:lastRenderedPageBreak/>
              <w:t>intereses de demora e indemnizaciones por costes de cobro y otras indemnizaciones a favor del contratista:</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lastRenderedPageBreak/>
              <w:t>a) Que existe informe del Servicio Jurídico.</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b) Que existe informe técnico. </w:t>
            </w:r>
          </w:p>
        </w:tc>
      </w:tr>
      <w:tr w:rsidR="00EF5CBC" w:rsidRPr="00EF5CBC" w:rsidTr="00C61E2B">
        <w:trPr>
          <w:trHeight w:val="39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c) Que, en su caso, existe dictamen del Consejo Consultivo </w:t>
            </w:r>
            <w:r w:rsidRPr="00EF5CBC">
              <w:rPr>
                <w:rFonts w:ascii="Tahoma" w:hAnsi="Tahoma" w:cs="Tahoma"/>
                <w:color w:val="0070C0"/>
                <w:sz w:val="20"/>
                <w:szCs w:val="20"/>
              </w:rPr>
              <w:lastRenderedPageBreak/>
              <w:t>competente.</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existe resolución de la solicitud de abono de intereses.</w:t>
            </w:r>
          </w:p>
        </w:tc>
      </w:tr>
      <w:tr w:rsidR="00EF5CBC" w:rsidRPr="00EF5CBC" w:rsidTr="00C61E2B">
        <w:trPr>
          <w:trHeight w:val="513"/>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consta la audiencia al contratista.</w:t>
            </w:r>
          </w:p>
        </w:tc>
      </w:tr>
      <w:tr w:rsidR="00EF5CBC" w:rsidRPr="00EF5CBC" w:rsidTr="00C61E2B">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8. Resolución del contrato:</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a) Que, en su caso, existe informe del Servicio Jurídico. </w:t>
            </w:r>
          </w:p>
        </w:tc>
      </w:tr>
      <w:tr w:rsidR="00EF5CBC" w:rsidRPr="00EF5CBC" w:rsidTr="00C61E2B">
        <w:trPr>
          <w:trHeight w:val="34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en su caso, existe dictamen del Consejo Consultivo competente.</w:t>
            </w:r>
          </w:p>
        </w:tc>
      </w:tr>
      <w:tr w:rsidR="00EF5CBC" w:rsidRPr="00EF5CBC" w:rsidTr="00C61E2B">
        <w:trPr>
          <w:trHeight w:val="3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se acredita la audiencia al contratista.</w:t>
            </w:r>
          </w:p>
        </w:tc>
      </w:tr>
      <w:tr w:rsidR="00EF5CBC" w:rsidRPr="00EF5CBC" w:rsidTr="00C61E2B">
        <w:trPr>
          <w:trHeight w:val="300"/>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 de Concesión de Servicios.                                9. Devolución de la fianza.</w:t>
            </w: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Aprobación de la liquidación del contrato.</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Informe de Tesorería Municipal que acredite la constitución de la fianza por el contratista y que la misma no ha sido devuelta.</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Inexistencia de providencia de embargo dirigida al órgano ante el cual se encuentra constituida la garantía.</w:t>
            </w:r>
          </w:p>
        </w:tc>
      </w:tr>
      <w:tr w:rsidR="00EF5CBC" w:rsidRPr="00EF5CBC" w:rsidTr="00C61E2B">
        <w:trPr>
          <w:trHeight w:val="61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4"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Se excede / no se excede del plazo de dos meses desde la finalización del plazo de garantía.</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Contratos de gestión de servicios públicos. </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918"/>
        <w:gridCol w:w="6721"/>
      </w:tblGrid>
      <w:tr w:rsidR="00EF5CBC" w:rsidRPr="00EF5CBC" w:rsidTr="00C61E2B">
        <w:trPr>
          <w:trHeight w:val="315"/>
        </w:trPr>
        <w:tc>
          <w:tcPr>
            <w:tcW w:w="291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6721" w:type="dxa"/>
            <w:tcBorders>
              <w:top w:val="single" w:sz="8" w:space="0" w:color="auto"/>
              <w:left w:val="nil"/>
              <w:bottom w:val="single" w:sz="8" w:space="0" w:color="auto"/>
              <w:right w:val="single" w:sz="8" w:space="0" w:color="auto"/>
            </w:tcBorders>
            <w:shd w:val="clear" w:color="auto" w:fill="auto"/>
            <w:noWrap/>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9639" w:type="dxa"/>
            <w:gridSpan w:val="2"/>
            <w:tcBorders>
              <w:top w:val="nil"/>
              <w:left w:val="single" w:sz="8" w:space="0" w:color="auto"/>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 DE GESTIÓN DE SERVICIOS PÚBLICOS</w:t>
            </w:r>
          </w:p>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18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Contratos de gestión de servicios públicos.                  1. Modificación del contrato: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En el caso de modificaciones previstas, que la posibilidad de modificar el contrato se encuentra prevista en los pliegos o en el anuncio de la licitación, y que no supera el porcentaje del precio del contrato al que como máximo pueden afectar. En el caso de modificaciones no previstas, que se acompaña informe técnico justificativo de los extremos previstos en la normativa contractual.</w:t>
            </w:r>
          </w:p>
        </w:tc>
      </w:tr>
      <w:tr w:rsidR="00EF5CBC" w:rsidRPr="00EF5CBC" w:rsidTr="00C61E2B">
        <w:trPr>
          <w:trHeight w:val="12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b) Que, en su caso, se acompaña informe técnico justificativo de que concurren las circunstancias previstas en el artículo 258 del Texto Refundido de la Ley de Contratos del Sector Público (artículo 270 Ley 9/2017). </w:t>
            </w:r>
          </w:p>
        </w:tc>
      </w:tr>
      <w:tr w:rsidR="00EF5CBC" w:rsidRPr="00EF5CBC" w:rsidTr="00C61E2B">
        <w:trPr>
          <w:trHeight w:val="21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en su caso, existe proyecto informado por los técnicos municipales y/o por la Oficina de Supervisión de Proyectos, si procede. Cuando no exista informe de los técnicos municipales y/o pode la Oficina de Supervisión de Proyectos, y no resulte procedente por razón de la cuantía, que al expediente se incorpora pronunciamiento expreso de que las obras del proyecto no afectan a la estabilidad, seguridad o estanqueidad de la obra.</w:t>
            </w:r>
          </w:p>
        </w:tc>
      </w:tr>
      <w:tr w:rsidR="00EF5CBC" w:rsidRPr="00EF5CBC" w:rsidTr="00C61E2B">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Cuando comprenda la ejecución de obras, que, en su caso, existe acta de replanteo previo.</w:t>
            </w:r>
          </w:p>
        </w:tc>
      </w:tr>
      <w:tr w:rsidR="00EF5CBC" w:rsidRPr="00EF5CBC" w:rsidTr="00C61E2B">
        <w:trPr>
          <w:trHeight w:val="6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existe informe del Servicio Jurídico y, en su caso, dictamen del Órgano Consultivo competente.</w:t>
            </w:r>
          </w:p>
        </w:tc>
      </w:tr>
      <w:tr w:rsidR="00EF5CBC" w:rsidRPr="00EF5CBC" w:rsidTr="00C61E2B">
        <w:trPr>
          <w:trHeight w:val="6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Que se ha dado audiencia al adjudicatario y, en su caso, que consta su conformidad.</w:t>
            </w:r>
          </w:p>
        </w:tc>
      </w:tr>
      <w:tr w:rsidR="00EF5CBC" w:rsidRPr="00EF5CBC" w:rsidTr="00C61E2B">
        <w:trPr>
          <w:trHeight w:val="9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Contratos de gestión de servicios públicos.                  2. Revisión de precios (aprobación del gasto):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la revisión de precio se encuentre expresamente prevista en los pliegos de cláusulas administrativas particulares y el contrato y que cumplen los requisitos recogidos en la normativa contractual.</w:t>
            </w:r>
          </w:p>
        </w:tc>
      </w:tr>
      <w:tr w:rsidR="00EF5CBC" w:rsidRPr="00EF5CBC" w:rsidTr="00C61E2B">
        <w:trPr>
          <w:trHeight w:val="3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existe informe del Servicio Jurídico.</w:t>
            </w:r>
          </w:p>
        </w:tc>
      </w:tr>
      <w:tr w:rsidR="00EF5CBC" w:rsidRPr="00EF5CBC" w:rsidTr="00C61E2B">
        <w:trPr>
          <w:trHeight w:val="6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Contratos de gestión de servicios públicos.                   3. Liquidación:</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se acompaña acta de recepción o certificado en los que se manifieste la conformidad con los trabajos.</w:t>
            </w:r>
          </w:p>
        </w:tc>
      </w:tr>
      <w:tr w:rsidR="00EF5CBC" w:rsidRPr="00EF5CBC" w:rsidTr="00C61E2B">
        <w:trPr>
          <w:trHeight w:val="6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se aporta factura por la empresa adjudicataria de acuerdo con la normativa vigente.</w:t>
            </w:r>
          </w:p>
        </w:tc>
      </w:tr>
      <w:tr w:rsidR="00EF5CBC" w:rsidRPr="00EF5CBC" w:rsidTr="00C61E2B">
        <w:trPr>
          <w:trHeight w:val="3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Contratos de gestión de servicios públicos.                   4. Pago de intereses de demora e indemnizaciones por costes de cobro y otras indemnizaciones a favor del contratista:</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Informe Jurídico.</w:t>
            </w:r>
          </w:p>
        </w:tc>
      </w:tr>
      <w:tr w:rsidR="00EF5CBC" w:rsidRPr="00EF5CBC" w:rsidTr="00C61E2B">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Informe del responsable municipal de la obra.</w:t>
            </w:r>
          </w:p>
        </w:tc>
      </w:tr>
      <w:tr w:rsidR="00EF5CBC" w:rsidRPr="00EF5CBC" w:rsidTr="00C61E2B">
        <w:trPr>
          <w:trHeight w:val="34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En su caso, dictamen del Órgano Consultivo competente.</w:t>
            </w:r>
          </w:p>
        </w:tc>
      </w:tr>
      <w:tr w:rsidR="00EF5CBC" w:rsidRPr="00EF5CBC" w:rsidTr="00C61E2B">
        <w:trPr>
          <w:trHeight w:val="30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existe resolución de la solicitud de abono de intereses.</w:t>
            </w:r>
          </w:p>
        </w:tc>
      </w:tr>
      <w:tr w:rsidR="00EF5CBC" w:rsidRPr="00EF5CBC" w:rsidTr="00C61E2B">
        <w:trPr>
          <w:trHeight w:val="9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consta la audiencia al contratista.</w:t>
            </w:r>
          </w:p>
        </w:tc>
      </w:tr>
      <w:tr w:rsidR="00EF5CBC" w:rsidRPr="00EF5CBC" w:rsidTr="00C61E2B">
        <w:trPr>
          <w:trHeight w:val="300"/>
        </w:trPr>
        <w:tc>
          <w:tcPr>
            <w:tcW w:w="291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70C0"/>
                <w:sz w:val="20"/>
                <w:szCs w:val="20"/>
              </w:rPr>
            </w:pPr>
            <w:r w:rsidRPr="00EF5CBC">
              <w:rPr>
                <w:rFonts w:ascii="Tahoma" w:hAnsi="Tahoma" w:cs="Tahoma"/>
                <w:color w:val="0070C0"/>
                <w:sz w:val="20"/>
                <w:szCs w:val="20"/>
              </w:rPr>
              <w:t>Contratos de gestión de servicios públicos.                   5. Resolución del contrato:</w:t>
            </w: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a) Que, en su caso, existe informe del Servicio Jurídico. </w:t>
            </w:r>
          </w:p>
        </w:tc>
      </w:tr>
      <w:tr w:rsidR="00EF5CBC" w:rsidRPr="00EF5CBC" w:rsidTr="00C61E2B">
        <w:trPr>
          <w:trHeight w:val="270"/>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en su caso, existe dictamen del Consejo Consultivo competente.</w:t>
            </w:r>
          </w:p>
        </w:tc>
      </w:tr>
      <w:tr w:rsidR="00EF5CBC" w:rsidRPr="00EF5CBC" w:rsidTr="00C61E2B">
        <w:trPr>
          <w:trHeight w:val="315"/>
        </w:trPr>
        <w:tc>
          <w:tcPr>
            <w:tcW w:w="291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70C0"/>
                <w:sz w:val="20"/>
                <w:szCs w:val="20"/>
              </w:rPr>
            </w:pPr>
          </w:p>
        </w:tc>
        <w:tc>
          <w:tcPr>
            <w:tcW w:w="672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Que se acredita la audiencia al contratista.</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color w:val="FF0000"/>
          <w:sz w:val="20"/>
          <w:szCs w:val="20"/>
        </w:rPr>
      </w:pPr>
      <w:r w:rsidRPr="00EF5CBC">
        <w:rPr>
          <w:rFonts w:ascii="Tahoma" w:eastAsia="Times New Roman" w:hAnsi="Tahoma" w:cs="Tahoma"/>
          <w:b/>
          <w:bCs/>
          <w:color w:val="FF0000"/>
          <w:sz w:val="20"/>
          <w:szCs w:val="20"/>
        </w:rPr>
        <w:t xml:space="preserve"> Contratos menores.</w:t>
      </w:r>
    </w:p>
    <w:p w:rsidR="00EF5CBC" w:rsidRPr="00EF5CBC" w:rsidRDefault="00EF5CBC" w:rsidP="00EF5CBC">
      <w:pPr>
        <w:pStyle w:val="Prrafodelista"/>
        <w:widowControl w:val="0"/>
        <w:tabs>
          <w:tab w:val="left" w:pos="851"/>
          <w:tab w:val="left" w:pos="993"/>
        </w:tabs>
        <w:spacing w:after="0" w:line="100" w:lineRule="atLeast"/>
        <w:ind w:left="567" w:right="567"/>
        <w:jc w:val="both"/>
        <w:rPr>
          <w:rFonts w:ascii="Tahoma" w:eastAsia="Times New Roman" w:hAnsi="Tahoma" w:cs="Tahoma"/>
          <w:b/>
          <w:bCs/>
          <w:sz w:val="20"/>
          <w:szCs w:val="20"/>
        </w:rPr>
      </w:pPr>
    </w:p>
    <w:tbl>
      <w:tblPr>
        <w:tblW w:w="9639" w:type="dxa"/>
        <w:tblInd w:w="637" w:type="dxa"/>
        <w:tblCellMar>
          <w:left w:w="70" w:type="dxa"/>
          <w:right w:w="70" w:type="dxa"/>
        </w:tblCellMar>
        <w:tblLook w:val="04A0"/>
      </w:tblPr>
      <w:tblGrid>
        <w:gridCol w:w="2918"/>
        <w:gridCol w:w="6724"/>
      </w:tblGrid>
      <w:tr w:rsidR="00EF5CBC" w:rsidRPr="00EF5CBC" w:rsidTr="00C61E2B">
        <w:trPr>
          <w:trHeight w:val="315"/>
        </w:trPr>
        <w:tc>
          <w:tcPr>
            <w:tcW w:w="2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lastRenderedPageBreak/>
              <w:t>CONTRATACIÓN</w:t>
            </w:r>
          </w:p>
        </w:tc>
        <w:tc>
          <w:tcPr>
            <w:tcW w:w="6724"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915" w:type="dxa"/>
            <w:tcBorders>
              <w:top w:val="nil"/>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CONTRATOS MENOR</w:t>
            </w:r>
          </w:p>
        </w:tc>
        <w:tc>
          <w:tcPr>
            <w:tcW w:w="6724"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2406"/>
        </w:trPr>
        <w:tc>
          <w:tcPr>
            <w:tcW w:w="2915"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Contratos menores</w:t>
            </w: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a) Propuesta de gasto (nota de pedido) y documento RC. </w:t>
            </w:r>
          </w:p>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El expediente incluirá el informe del órgano de contratación motivando la necesidad del contrato. Además incluirá justificación del órgano de contratación que no se está alterando el objeto del contrato para evitar la aplicación de las reglas generales de contratación, y que el contratista no ha suscrito más contratos menores que individual o conjuntamente superen la cifras prevista en el artículo 118 de la LCSP.</w:t>
            </w:r>
          </w:p>
          <w:p w:rsidR="00EF5CBC" w:rsidRPr="00EF5CBC" w:rsidRDefault="00EF5CBC" w:rsidP="00EF5CBC">
            <w:pPr>
              <w:ind w:left="567" w:right="567"/>
              <w:jc w:val="both"/>
              <w:rPr>
                <w:rFonts w:ascii="Tahoma" w:hAnsi="Tahoma" w:cs="Tahoma"/>
                <w:color w:val="0070C0"/>
                <w:sz w:val="20"/>
                <w:szCs w:val="20"/>
              </w:rPr>
            </w:pPr>
          </w:p>
        </w:tc>
      </w:tr>
      <w:tr w:rsidR="00EF5CBC" w:rsidRPr="00EF5CBC" w:rsidTr="00C61E2B">
        <w:trPr>
          <w:trHeight w:val="136"/>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Factura que cumple los requisitos de la normativa de facturación.</w:t>
            </w:r>
          </w:p>
        </w:tc>
      </w:tr>
      <w:tr w:rsidR="00EF5CBC" w:rsidRPr="00EF5CBC" w:rsidTr="00C61E2B">
        <w:trPr>
          <w:trHeight w:val="6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Factura conformada por el trabajador y por el concejal responsable de ese gasto.</w:t>
            </w:r>
          </w:p>
        </w:tc>
      </w:tr>
      <w:tr w:rsidR="00EF5CBC" w:rsidRPr="00EF5CBC" w:rsidTr="00C61E2B">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d) En el supuesto de un contrato menor de obras, la existencia de Proyecto de obra e informe de supervisión (en su caso) o de Presupuesto de la Obra a realizar con las descripción técnica de las mismas.</w:t>
            </w:r>
          </w:p>
        </w:tc>
      </w:tr>
      <w:tr w:rsidR="00EF5CBC" w:rsidRPr="00EF5CBC" w:rsidTr="00C61E2B">
        <w:trPr>
          <w:trHeight w:val="12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e) En los gastos por importe superior a 1.500 €, que se han obtenido tres presupuestos de varios proveedores distintos, salvo que se justifique que no es posible la concurrencia. A través de las BEP se puede minorar el importe objeto de comprobación. (****) </w:t>
            </w:r>
          </w:p>
        </w:tc>
      </w:tr>
      <w:tr w:rsidR="00EF5CBC" w:rsidRPr="00EF5CBC" w:rsidTr="00C61E2B">
        <w:trPr>
          <w:trHeight w:val="9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f) Si el gasto menor se califica como de "especial complejidad" por la Secretaría o por la Intervención se comprobará que en el expediente figuran los siguientes documentos:</w:t>
            </w:r>
          </w:p>
        </w:tc>
      </w:tr>
      <w:tr w:rsidR="00EF5CBC" w:rsidRPr="00EF5CBC" w:rsidTr="00C61E2B">
        <w:trPr>
          <w:trHeight w:val="261"/>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1.- Memoria</w:t>
            </w:r>
          </w:p>
        </w:tc>
      </w:tr>
      <w:tr w:rsidR="00EF5CBC" w:rsidRPr="00EF5CBC" w:rsidTr="00C61E2B">
        <w:trPr>
          <w:trHeight w:val="300"/>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2.- Pliegos o documento de descripción técnica de los trabajos a contratar.</w:t>
            </w:r>
          </w:p>
        </w:tc>
      </w:tr>
      <w:tr w:rsidR="00EF5CBC" w:rsidRPr="00EF5CBC" w:rsidTr="00C61E2B">
        <w:trPr>
          <w:trHeight w:val="369"/>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3.- Presupuestos (mínimo tres).</w:t>
            </w:r>
          </w:p>
        </w:tc>
      </w:tr>
      <w:tr w:rsidR="00EF5CBC" w:rsidRPr="00EF5CBC" w:rsidTr="00C61E2B">
        <w:trPr>
          <w:trHeight w:val="275"/>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4.- Resolución motivada con el contenido del artigo 26 del TRLCSP.</w:t>
            </w:r>
          </w:p>
        </w:tc>
      </w:tr>
      <w:tr w:rsidR="00EF5CBC" w:rsidRPr="00EF5CBC" w:rsidTr="00C61E2B">
        <w:trPr>
          <w:trHeight w:val="72"/>
        </w:trPr>
        <w:tc>
          <w:tcPr>
            <w:tcW w:w="2915"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24"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g) Que el contrato no tiene una duración superior a un año, no es objeto de prórroga ni de revisión de precios.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Contratos tramitados a través de acuerdos marcos y sistemas dinámicos de contratación. </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4176"/>
        <w:gridCol w:w="5463"/>
      </w:tblGrid>
      <w:tr w:rsidR="00EF5CBC" w:rsidRPr="00EF5CBC" w:rsidTr="00C61E2B">
        <w:trPr>
          <w:trHeight w:val="315"/>
        </w:trPr>
        <w:tc>
          <w:tcPr>
            <w:tcW w:w="417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CONTRATACIÓN</w:t>
            </w:r>
          </w:p>
        </w:tc>
        <w:tc>
          <w:tcPr>
            <w:tcW w:w="5463"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xml:space="preserve">AMRB: Extremos adicionales a incorporar </w:t>
            </w:r>
            <w:r w:rsidRPr="00EF5CBC">
              <w:rPr>
                <w:rFonts w:ascii="Tahoma" w:hAnsi="Tahoma" w:cs="Tahoma"/>
                <w:b/>
                <w:bCs/>
                <w:color w:val="000000"/>
                <w:sz w:val="20"/>
                <w:szCs w:val="20"/>
              </w:rPr>
              <w:lastRenderedPageBreak/>
              <w:t>al expediente.</w:t>
            </w:r>
          </w:p>
        </w:tc>
      </w:tr>
      <w:tr w:rsidR="00EF5CBC" w:rsidRPr="00EF5CBC" w:rsidTr="00C61E2B">
        <w:trPr>
          <w:trHeight w:val="315"/>
        </w:trPr>
        <w:tc>
          <w:tcPr>
            <w:tcW w:w="9639" w:type="dxa"/>
            <w:gridSpan w:val="2"/>
            <w:tcBorders>
              <w:top w:val="nil"/>
              <w:left w:val="single" w:sz="8" w:space="0" w:color="auto"/>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lastRenderedPageBreak/>
              <w:t xml:space="preserve">Contratos tramitados a través de acuerdos marcos y sistemas dinámicos de contratación. </w:t>
            </w:r>
          </w:p>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915"/>
        </w:trPr>
        <w:tc>
          <w:tcPr>
            <w:tcW w:w="4176" w:type="dxa"/>
            <w:tcBorders>
              <w:top w:val="nil"/>
              <w:left w:val="single" w:sz="8" w:space="0" w:color="auto"/>
              <w:bottom w:val="single" w:sz="8" w:space="0" w:color="auto"/>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w:t>
            </w:r>
          </w:p>
        </w:tc>
        <w:tc>
          <w:tcPr>
            <w:tcW w:w="546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Los requisitos básicos a comprobar en este caso serán aquellos que vengan  determinados por el Acuerdo del Consejo de Ministros en vigor en cada momento.</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Subvenciones.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886"/>
        <w:gridCol w:w="6753"/>
      </w:tblGrid>
      <w:tr w:rsidR="00EF5CBC" w:rsidRPr="00EF5CBC" w:rsidTr="00C61E2B">
        <w:trPr>
          <w:trHeight w:val="315"/>
        </w:trPr>
        <w:tc>
          <w:tcPr>
            <w:tcW w:w="28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SUBVENCIONES</w:t>
            </w:r>
          </w:p>
        </w:tc>
        <w:tc>
          <w:tcPr>
            <w:tcW w:w="6753"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886" w:type="dxa"/>
            <w:tcBorders>
              <w:top w:val="nil"/>
              <w:left w:val="single" w:sz="8" w:space="0" w:color="auto"/>
              <w:bottom w:val="single" w:sz="8" w:space="0" w:color="auto"/>
              <w:right w:val="single" w:sz="4"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c>
          <w:tcPr>
            <w:tcW w:w="6753"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600"/>
        </w:trPr>
        <w:tc>
          <w:tcPr>
            <w:tcW w:w="2886"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Subvenciones.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Subvenciones a conceder en régimen de concurrencia competitiva.           A) Aprobación del gasto:</w:t>
            </w: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existen las bases reguladoras de la subvención y que han sido, en su caso, publicadas en el Boletín Oficial de la Provincia.</w:t>
            </w:r>
          </w:p>
        </w:tc>
      </w:tr>
      <w:tr w:rsidR="00EF5CBC" w:rsidRPr="00EF5CBC" w:rsidTr="00C61E2B">
        <w:trPr>
          <w:trHeight w:val="15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la convocatoria figuran los créditos presupuestarios a los que se imputa la subvención y la cuantía total máxima de las subvenciones convocadas, así como, en su caso, el establecimiento de una cuantía adicional máxima, en aplicación del artículo 58 del Reglamento de la Ley General de Subvenciones.</w:t>
            </w:r>
          </w:p>
        </w:tc>
      </w:tr>
      <w:tr w:rsidR="00EF5CBC" w:rsidRPr="00EF5CBC" w:rsidTr="00C61E2B">
        <w:trPr>
          <w:trHeight w:val="9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en la convocatoria figuran los criterios de valoración de las solicitudes y que éstos son conformes con los establecidos en las correspondientes bases reguladoras.</w:t>
            </w:r>
          </w:p>
        </w:tc>
      </w:tr>
      <w:tr w:rsidR="00EF5CBC" w:rsidRPr="00EF5CBC" w:rsidTr="00C61E2B">
        <w:trPr>
          <w:trHeight w:val="15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Cuando se trate de expedientes de aprobación de gasto por la cuantía adicional del artículo 58 del Reglamento de la Ley General de Subvenciones, una vez obtenida la financiación adicional, se verificará como extremo adicional a los previstos en la regla cinco 3.e) que no se supera el importe establecido en la convocatoria.</w:t>
            </w:r>
          </w:p>
        </w:tc>
      </w:tr>
      <w:tr w:rsidR="00EF5CBC" w:rsidRPr="00EF5CBC" w:rsidTr="00C61E2B">
        <w:trPr>
          <w:trHeight w:val="915"/>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e) Que la convocatoria reúne el contenido mínimo del artículo 23 de la Ley General de Subvenciones y ha sido publicada en los términos del artículo 23.2 de la Ley General de Subvenciones.</w:t>
            </w:r>
          </w:p>
        </w:tc>
      </w:tr>
      <w:tr w:rsidR="00EF5CBC" w:rsidRPr="00EF5CBC" w:rsidTr="00C61E2B">
        <w:trPr>
          <w:trHeight w:val="238"/>
        </w:trPr>
        <w:tc>
          <w:tcPr>
            <w:tcW w:w="2886"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Subvenciones.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Subvenciones a conceder en régimen de concurrencia competitiva.           B) Compromiso del gasto.</w:t>
            </w: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a) Certificado del registro acreditativo de las solicitudes presentadas. </w:t>
            </w:r>
          </w:p>
        </w:tc>
      </w:tr>
      <w:tr w:rsidR="00EF5CBC" w:rsidRPr="00EF5CBC" w:rsidTr="00C61E2B">
        <w:trPr>
          <w:trHeight w:val="6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el informe del órgano competente sobre la evaluación de las solicitudes.</w:t>
            </w:r>
          </w:p>
        </w:tc>
      </w:tr>
      <w:tr w:rsidR="00EF5CBC" w:rsidRPr="00EF5CBC" w:rsidTr="00C61E2B">
        <w:trPr>
          <w:trHeight w:val="3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el informe del órgano instructor en el que conste que de la información que obra en su poder se desprende que los beneficiarios cumplen todos los requisitos necesarios para acceder a las mismas.</w:t>
            </w:r>
          </w:p>
        </w:tc>
      </w:tr>
      <w:tr w:rsidR="00EF5CBC" w:rsidRPr="00EF5CBC" w:rsidTr="00C61E2B">
        <w:trPr>
          <w:trHeight w:val="9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la propuesta de resolución del procedimiento expresa el solicitante o la relación de solicitantes a los que se va a conceder la subvención y su cuantía.</w:t>
            </w:r>
          </w:p>
        </w:tc>
      </w:tr>
      <w:tr w:rsidR="00EF5CBC" w:rsidRPr="00EF5CBC" w:rsidTr="00C61E2B">
        <w:trPr>
          <w:trHeight w:val="417"/>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Que, en su caso, se han justificado los gastos relativos subvenciones anteriormente percibidas por el beneficiario, siempre que el plazo establecido para su presentación hubiera finalizado.</w:t>
            </w:r>
          </w:p>
        </w:tc>
      </w:tr>
      <w:tr w:rsidR="00EF5CBC" w:rsidRPr="00EF5CBC" w:rsidTr="00C61E2B">
        <w:trPr>
          <w:trHeight w:val="443"/>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Que los beneficiarios no tienen deudas en ejecutiva por reintegro de subvenciones concedidas por la Corporación.</w:t>
            </w:r>
          </w:p>
        </w:tc>
      </w:tr>
      <w:tr w:rsidR="00EF5CBC" w:rsidRPr="00EF5CBC" w:rsidTr="00C61E2B">
        <w:trPr>
          <w:trHeight w:val="600"/>
        </w:trPr>
        <w:tc>
          <w:tcPr>
            <w:tcW w:w="2886"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Subvenciones.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Subvenciones a conceder en régimen de concurrencia competitiva.          C) Reconocimiento de obligación.</w:t>
            </w: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Si en la normativa reguladora se prevé la aportación de garantías, acreditación de la existencia de dichas garantías.</w:t>
            </w:r>
          </w:p>
        </w:tc>
      </w:tr>
      <w:tr w:rsidR="00EF5CBC" w:rsidRPr="00EF5CBC" w:rsidTr="00C61E2B">
        <w:trPr>
          <w:trHeight w:val="6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Si se realizan anticipos y/o pagos a cuenta, que los mismos están previstos en la normativa reguladora de la subvención.</w:t>
            </w:r>
          </w:p>
        </w:tc>
      </w:tr>
      <w:tr w:rsidR="00EF5CBC" w:rsidRPr="00EF5CBC" w:rsidTr="00C61E2B">
        <w:trPr>
          <w:trHeight w:val="1064"/>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Acreditación, en la forma establecida en la norma reguladora de la subvención, que el beneficiario se halla al corriente de obligaciones tributarias y frente a la Seguridad Social y no es deudor por resolución de procedencia de reintegro, </w:t>
            </w:r>
            <w:r w:rsidRPr="00EF5CBC">
              <w:rPr>
                <w:rFonts w:ascii="Tahoma" w:hAnsi="Tahoma" w:cs="Tahoma"/>
                <w:color w:val="0070C0"/>
                <w:sz w:val="20"/>
                <w:szCs w:val="20"/>
              </w:rPr>
              <w:t>así como acreditación de estar al corriente de sus obligaciones tributarias con la Entidad Local.</w:t>
            </w:r>
          </w:p>
        </w:tc>
      </w:tr>
      <w:tr w:rsidR="00EF5CBC" w:rsidRPr="00EF5CBC" w:rsidTr="00C61E2B">
        <w:trPr>
          <w:trHeight w:val="828"/>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d) Que se acompaña certificación a que se refiere el artículo 88.3 del Reglamento de la Ley General de Subvenciones, expedida por el órgano encargado del seguimiento de la subvención.</w:t>
            </w:r>
          </w:p>
        </w:tc>
      </w:tr>
      <w:tr w:rsidR="00EF5CBC" w:rsidRPr="00EF5CBC" w:rsidTr="00C61E2B">
        <w:trPr>
          <w:trHeight w:val="1324"/>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e) Que los gastos realizados tienen la consideración de subvencionables de conformidad con el artículo 32 de la Ley General de Subvenciones y además que se acreditan mediante facturas y demás documentos de valor probatorio equivalente con validez en el tráfico jurídico mercantil o con eficacia administrativa. </w:t>
            </w:r>
          </w:p>
        </w:tc>
      </w:tr>
      <w:tr w:rsidR="00EF5CBC" w:rsidRPr="00EF5CBC" w:rsidTr="00C61E2B">
        <w:trPr>
          <w:trHeight w:val="368"/>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f) Que los gastos realizados se han pagado antes de que haya finalizado el plazo de justificación. </w:t>
            </w:r>
          </w:p>
        </w:tc>
      </w:tr>
      <w:tr w:rsidR="00EF5CBC" w:rsidRPr="00EF5CBC" w:rsidTr="00C61E2B">
        <w:trPr>
          <w:trHeight w:val="234"/>
        </w:trPr>
        <w:tc>
          <w:tcPr>
            <w:tcW w:w="2886"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Subvenciones.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2. Subvenciones directas.                   A) Aprobación del gasto  y compromiso del gasto.</w:t>
            </w:r>
          </w:p>
        </w:tc>
        <w:tc>
          <w:tcPr>
            <w:tcW w:w="6753" w:type="dxa"/>
            <w:tcBorders>
              <w:top w:val="nil"/>
              <w:left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a) Que la subvención está prevista en el Presupuesto correspondiente.</w:t>
            </w:r>
          </w:p>
        </w:tc>
      </w:tr>
      <w:tr w:rsidR="00EF5CBC" w:rsidRPr="00EF5CBC" w:rsidTr="00C61E2B">
        <w:trPr>
          <w:trHeight w:val="43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Acreditación en la forma establecida en la normativa reguladora de la subvención, de que el beneficiario se halla al corriente de obligaciones tributarias y frente a la Seguridad Social y no está incurso en las prohibiciones para obtener dicha condición, previstas en los apartados 2 y 3 del artículo 13 de la Ley General de Subvenciones.</w:t>
            </w:r>
          </w:p>
        </w:tc>
      </w:tr>
      <w:tr w:rsidR="00EF5CBC" w:rsidRPr="00EF5CBC" w:rsidTr="00C61E2B">
        <w:trPr>
          <w:trHeight w:val="428"/>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c) Que los beneficiarios no tienen deudas en ejecutiva por reintegro de subvenciones concedidas por la Entidad Local.                                                                              </w:t>
            </w:r>
          </w:p>
        </w:tc>
      </w:tr>
      <w:tr w:rsidR="00EF5CBC" w:rsidRPr="00EF5CBC" w:rsidTr="00C61E2B">
        <w:trPr>
          <w:trHeight w:val="664"/>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d) Si como beneficiario se constituye una asociación, ésta debe encontrarse inscrita en el Registro Municipal de Asociaciones o en el Registro correspondiente. </w:t>
            </w:r>
          </w:p>
        </w:tc>
      </w:tr>
      <w:tr w:rsidR="00EF5CBC" w:rsidRPr="00EF5CBC" w:rsidTr="00C61E2B">
        <w:trPr>
          <w:trHeight w:val="600"/>
        </w:trPr>
        <w:tc>
          <w:tcPr>
            <w:tcW w:w="2886"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Subvenciones.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2. Subvenciones </w:t>
            </w:r>
            <w:r w:rsidRPr="00EF5CBC">
              <w:rPr>
                <w:rFonts w:ascii="Tahoma" w:hAnsi="Tahoma" w:cs="Tahoma"/>
                <w:color w:val="000000"/>
                <w:sz w:val="20"/>
                <w:szCs w:val="20"/>
              </w:rPr>
              <w:lastRenderedPageBreak/>
              <w:t>directas.                   B) Reconocimiento de obligación.</w:t>
            </w: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lastRenderedPageBreak/>
              <w:t>a) Si en la normativa reguladora se prevé la aportación de garantías, acreditación de la existencia de dichas garantías.</w:t>
            </w:r>
          </w:p>
        </w:tc>
      </w:tr>
      <w:tr w:rsidR="00EF5CBC" w:rsidRPr="00EF5CBC" w:rsidTr="00C61E2B">
        <w:trPr>
          <w:trHeight w:val="556"/>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Si se realizan anticipos y/o pagos a cuenta, que los mismos están previstos en la normativa reguladora de la subvención.</w:t>
            </w:r>
          </w:p>
        </w:tc>
      </w:tr>
      <w:tr w:rsidR="00EF5CBC" w:rsidRPr="00EF5CBC" w:rsidTr="00C61E2B">
        <w:trPr>
          <w:trHeight w:val="1200"/>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c) Acreditación, en la forma establecida en la norma reguladora de la subvención, que el beneficiario se halla al corriente de obligaciones tributarias y frente a la Seguridad Social y no es deudor por resolución de procedencia de reintegro, </w:t>
            </w:r>
            <w:r w:rsidRPr="00EF5CBC">
              <w:rPr>
                <w:rFonts w:ascii="Tahoma" w:hAnsi="Tahoma" w:cs="Tahoma"/>
                <w:color w:val="0070C0"/>
                <w:sz w:val="20"/>
                <w:szCs w:val="20"/>
              </w:rPr>
              <w:t>así como acreditación de estar al corriente de sus obligaciones tributarias con la Entidad Local</w:t>
            </w:r>
            <w:r w:rsidRPr="00EF5CBC">
              <w:rPr>
                <w:rFonts w:ascii="Tahoma" w:hAnsi="Tahoma" w:cs="Tahoma"/>
                <w:color w:val="000000"/>
                <w:sz w:val="20"/>
                <w:szCs w:val="20"/>
              </w:rPr>
              <w:t>.</w:t>
            </w:r>
          </w:p>
        </w:tc>
      </w:tr>
      <w:tr w:rsidR="00EF5CBC" w:rsidRPr="00EF5CBC" w:rsidTr="00C61E2B">
        <w:trPr>
          <w:trHeight w:val="556"/>
        </w:trPr>
        <w:tc>
          <w:tcPr>
            <w:tcW w:w="2886"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53"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sz w:val="20"/>
                <w:szCs w:val="20"/>
              </w:rPr>
            </w:pPr>
            <w:r w:rsidRPr="00EF5CBC">
              <w:rPr>
                <w:rFonts w:ascii="Tahoma" w:hAnsi="Tahoma" w:cs="Tahoma"/>
                <w:color w:val="000000"/>
                <w:sz w:val="20"/>
                <w:szCs w:val="20"/>
              </w:rPr>
              <w:t>d) Que se acompaña certificación a que se refiere el artículo 88.3 del Reglamento de la Ley General de Subvenciones, expedida por el órgano encargado del seguimiento de la subvención.</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Convenios de colaboración.</w:t>
      </w:r>
    </w:p>
    <w:p w:rsidR="00EF5CBC" w:rsidRPr="00EF5CBC" w:rsidRDefault="00EF5CBC" w:rsidP="00EF5CBC">
      <w:pPr>
        <w:pStyle w:val="Prrafodelista"/>
        <w:widowControl w:val="0"/>
        <w:tabs>
          <w:tab w:val="left" w:pos="851"/>
          <w:tab w:val="left" w:pos="993"/>
        </w:tabs>
        <w:spacing w:after="0" w:line="100" w:lineRule="atLeast"/>
        <w:ind w:left="567" w:right="567"/>
        <w:jc w:val="both"/>
        <w:rPr>
          <w:rFonts w:ascii="Tahoma" w:eastAsia="Times New Roman" w:hAnsi="Tahoma" w:cs="Tahoma"/>
          <w:b/>
          <w:bCs/>
          <w:sz w:val="20"/>
          <w:szCs w:val="20"/>
        </w:rPr>
      </w:pPr>
    </w:p>
    <w:tbl>
      <w:tblPr>
        <w:tblW w:w="9639" w:type="dxa"/>
        <w:tblInd w:w="637" w:type="dxa"/>
        <w:tblCellMar>
          <w:left w:w="70" w:type="dxa"/>
          <w:right w:w="70" w:type="dxa"/>
        </w:tblCellMar>
        <w:tblLook w:val="04A0"/>
      </w:tblPr>
      <w:tblGrid>
        <w:gridCol w:w="2987"/>
        <w:gridCol w:w="6676"/>
      </w:tblGrid>
      <w:tr w:rsidR="00EF5CBC" w:rsidRPr="00EF5CBC" w:rsidTr="00C61E2B">
        <w:trPr>
          <w:trHeight w:val="315"/>
        </w:trPr>
        <w:tc>
          <w:tcPr>
            <w:tcW w:w="2963"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CONVENIOS DE COLABORACIÓN.</w:t>
            </w:r>
          </w:p>
        </w:tc>
        <w:tc>
          <w:tcPr>
            <w:tcW w:w="6676"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963"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676"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302"/>
        </w:trPr>
        <w:tc>
          <w:tcPr>
            <w:tcW w:w="296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Convenio de colaboración.          1. Suscripción del convenio:</w:t>
            </w: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del Servicio Jurídico sobre el texto del convenio.</w:t>
            </w:r>
          </w:p>
        </w:tc>
      </w:tr>
      <w:tr w:rsidR="00EF5CBC" w:rsidRPr="00EF5CBC" w:rsidTr="00C61E2B">
        <w:trPr>
          <w:trHeight w:val="113"/>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b) Clara determinación del objeto del convenio.</w:t>
            </w:r>
          </w:p>
        </w:tc>
      </w:tr>
      <w:tr w:rsidR="00EF5CBC" w:rsidRPr="00EF5CBC" w:rsidTr="00C61E2B">
        <w:trPr>
          <w:trHeight w:val="822"/>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c) Que el objeto del convenio no está comprendido en los contratos regulados en la Ley de Contratos del Sector Público o en normas administrativas especiales.</w:t>
            </w:r>
          </w:p>
        </w:tc>
      </w:tr>
      <w:tr w:rsidR="00EF5CBC" w:rsidRPr="00EF5CBC" w:rsidTr="00C61E2B">
        <w:trPr>
          <w:trHeight w:val="480"/>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d) Acreditación de la personalidad jurídica de la entidad con la que se va a suscribir el convenio y del representante en su caso.</w:t>
            </w:r>
          </w:p>
        </w:tc>
      </w:tr>
      <w:tr w:rsidR="00EF5CBC" w:rsidRPr="00EF5CBC" w:rsidTr="00C61E2B">
        <w:trPr>
          <w:trHeight w:val="148"/>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e) Si el convenio implica la concesión de subvenciones, se fiscalizarán los extremos relativos a las mismas conforme a la ARTÍCULO anterior.</w:t>
            </w:r>
          </w:p>
        </w:tc>
      </w:tr>
      <w:tr w:rsidR="00EF5CBC" w:rsidRPr="00EF5CBC" w:rsidTr="00C61E2B">
        <w:trPr>
          <w:trHeight w:val="600"/>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f) Si se trata de un convenio Interadministrativo, que concurren la competencia y/o el interés común.</w:t>
            </w:r>
          </w:p>
        </w:tc>
      </w:tr>
      <w:tr w:rsidR="00EF5CBC" w:rsidRPr="00EF5CBC" w:rsidTr="00C61E2B">
        <w:trPr>
          <w:trHeight w:val="661"/>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g) El contenido del Convenio incluye como mínimo las materias mínimas señaladas en el artículo 41 de la Ley 40/2015, de 1 de octubre, de Régimen Jurídico del Sector Público.</w:t>
            </w:r>
          </w:p>
        </w:tc>
      </w:tr>
      <w:tr w:rsidR="00EF5CBC" w:rsidRPr="00EF5CBC" w:rsidTr="00C61E2B">
        <w:trPr>
          <w:trHeight w:val="888"/>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h) Memoria justificativa que analice la necesidad y oportunidad del Convenio, su impacto económico, el carácter no contractual de la actividad en cuestión y el cumplimento de los establecido en los artículos 47 y siguientes de la  Ley 40/2015, de 1 de octubre, de Régimen Jurídico del Sector Público.</w:t>
            </w:r>
          </w:p>
        </w:tc>
      </w:tr>
      <w:tr w:rsidR="00EF5CBC" w:rsidRPr="00EF5CBC" w:rsidTr="00C61E2B">
        <w:trPr>
          <w:trHeight w:val="648"/>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 xml:space="preserve">i) Cuando se trate de convenios plurianuales que impliquen aportaciones económicas futuras, que aquellas están condicionadas a la existencia de crédito en los </w:t>
            </w:r>
            <w:r w:rsidRPr="00EF5CBC">
              <w:rPr>
                <w:rFonts w:ascii="Tahoma" w:hAnsi="Tahoma" w:cs="Tahoma"/>
                <w:color w:val="4F6228" w:themeColor="accent3" w:themeShade="80"/>
                <w:sz w:val="20"/>
                <w:szCs w:val="20"/>
              </w:rPr>
              <w:lastRenderedPageBreak/>
              <w:t>correspondientes presupuestos.</w:t>
            </w:r>
          </w:p>
        </w:tc>
      </w:tr>
      <w:tr w:rsidR="00EF5CBC" w:rsidRPr="00EF5CBC" w:rsidTr="00C61E2B">
        <w:trPr>
          <w:trHeight w:val="600"/>
        </w:trPr>
        <w:tc>
          <w:tcPr>
            <w:tcW w:w="296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Convenio de colaboración.          2. Reconocimiento de la obligación:</w:t>
            </w: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a) Que se produjo la fiscalización previa del convenio y su efectiva suscripción.</w:t>
            </w:r>
          </w:p>
        </w:tc>
      </w:tr>
      <w:tr w:rsidR="00EF5CBC" w:rsidRPr="00EF5CBC" w:rsidTr="00C61E2B">
        <w:trPr>
          <w:trHeight w:val="708"/>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sz w:val="20"/>
                <w:szCs w:val="20"/>
              </w:rPr>
            </w:pPr>
            <w:r w:rsidRPr="00EF5CBC">
              <w:rPr>
                <w:rFonts w:ascii="Tahoma" w:hAnsi="Tahoma" w:cs="Tahoma"/>
                <w:sz w:val="20"/>
                <w:szCs w:val="20"/>
              </w:rPr>
              <w:t>b) En su caso, certificación expedida por el responsable o servicio previsto en el convenio, acreditativa del cumplimiento de las obligaciones previstas en el mismo.</w:t>
            </w:r>
          </w:p>
        </w:tc>
      </w:tr>
      <w:tr w:rsidR="00EF5CBC" w:rsidRPr="00EF5CBC" w:rsidTr="00C61E2B">
        <w:trPr>
          <w:trHeight w:val="592"/>
        </w:trPr>
        <w:tc>
          <w:tcPr>
            <w:tcW w:w="296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Convenio de colaboración.          3. Prórroga y Modificación del convenio:</w:t>
            </w: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a) Propuesta motivada de la conveniencia y oportunidad de la modificación o prórroga, efectuada por el órgano competente.</w:t>
            </w:r>
          </w:p>
        </w:tc>
      </w:tr>
      <w:tr w:rsidR="00EF5CBC" w:rsidRPr="00EF5CBC" w:rsidTr="00C61E2B">
        <w:trPr>
          <w:trHeight w:val="65"/>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b) Informe jurídico sobre la modificación propuesta o sobre la prórroga.</w:t>
            </w:r>
          </w:p>
        </w:tc>
      </w:tr>
      <w:tr w:rsidR="00EF5CBC" w:rsidRPr="00EF5CBC" w:rsidTr="00C61E2B">
        <w:trPr>
          <w:trHeight w:val="534"/>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c) La propuesta de modificación o de prórroga se ajusta al régimen previsto a tal efecto en el convenio.</w:t>
            </w:r>
          </w:p>
        </w:tc>
      </w:tr>
      <w:tr w:rsidR="00EF5CBC" w:rsidRPr="00EF5CBC" w:rsidTr="00C61E2B">
        <w:trPr>
          <w:trHeight w:val="117"/>
        </w:trPr>
        <w:tc>
          <w:tcPr>
            <w:tcW w:w="296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Convenio de colaboración.          4. Resolución del convenio:</w:t>
            </w:r>
          </w:p>
        </w:tc>
        <w:tc>
          <w:tcPr>
            <w:tcW w:w="667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a) Propuesta  de liquidación conforme a los términos del convenio.</w:t>
            </w:r>
          </w:p>
        </w:tc>
      </w:tr>
      <w:tr w:rsidR="00EF5CBC" w:rsidRPr="00EF5CBC" w:rsidTr="00C61E2B">
        <w:trPr>
          <w:trHeight w:val="249"/>
        </w:trPr>
        <w:tc>
          <w:tcPr>
            <w:tcW w:w="296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7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4F6228" w:themeColor="accent3" w:themeShade="80"/>
                <w:sz w:val="20"/>
                <w:szCs w:val="20"/>
              </w:rPr>
            </w:pPr>
            <w:r w:rsidRPr="00EF5CBC">
              <w:rPr>
                <w:rFonts w:ascii="Tahoma" w:hAnsi="Tahoma" w:cs="Tahoma"/>
                <w:color w:val="4F6228" w:themeColor="accent3" w:themeShade="80"/>
                <w:sz w:val="20"/>
                <w:szCs w:val="20"/>
              </w:rPr>
              <w:t>b) Informe jurídico y/o económico sobre la liquidación propuesta.</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Responsabilidad Patrimonial.</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3257"/>
        <w:gridCol w:w="6491"/>
      </w:tblGrid>
      <w:tr w:rsidR="00EF5CBC" w:rsidRPr="00EF5CBC" w:rsidTr="00C61E2B">
        <w:trPr>
          <w:trHeight w:val="315"/>
        </w:trPr>
        <w:tc>
          <w:tcPr>
            <w:tcW w:w="3148"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RESPONSABILIDAD PATRIMONIAL</w:t>
            </w:r>
          </w:p>
        </w:tc>
        <w:tc>
          <w:tcPr>
            <w:tcW w:w="6491"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3148"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491"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309"/>
        </w:trPr>
        <w:tc>
          <w:tcPr>
            <w:tcW w:w="314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Reclamaciones que se formulen ante este Ayuntamiento en concepto de indemnización por daños y perjuicios, por responsabilidad patrimonial</w:t>
            </w:r>
          </w:p>
        </w:tc>
        <w:tc>
          <w:tcPr>
            <w:tcW w:w="649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en su caso, existe Dictamen del Consejo Consultivo competente.</w:t>
            </w:r>
          </w:p>
        </w:tc>
      </w:tr>
      <w:tr w:rsidR="00EF5CBC" w:rsidRPr="00EF5CBC" w:rsidTr="00C61E2B">
        <w:trPr>
          <w:trHeight w:val="1817"/>
        </w:trPr>
        <w:tc>
          <w:tcPr>
            <w:tcW w:w="314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49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informe del servicio cuyo funcionamiento haya ocasionado la presunta lesión indemnizable.</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En los expedientes de gasto derivados de Expropiaciones Forzosas.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868"/>
        <w:gridCol w:w="6771"/>
      </w:tblGrid>
      <w:tr w:rsidR="00EF5CBC" w:rsidRPr="00EF5CBC" w:rsidTr="00C61E2B">
        <w:trPr>
          <w:trHeight w:val="315"/>
        </w:trPr>
        <w:tc>
          <w:tcPr>
            <w:tcW w:w="2868"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EXPROPIACIÓN FORZOSA</w:t>
            </w:r>
          </w:p>
        </w:tc>
        <w:tc>
          <w:tcPr>
            <w:tcW w:w="6771"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868"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771"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248"/>
        </w:trPr>
        <w:tc>
          <w:tcPr>
            <w:tcW w:w="286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Expropiación forzosa.                   </w:t>
            </w:r>
            <w:r w:rsidRPr="00EF5CBC">
              <w:rPr>
                <w:rFonts w:ascii="Tahoma" w:hAnsi="Tahoma" w:cs="Tahoma"/>
                <w:color w:val="000000"/>
                <w:sz w:val="20"/>
                <w:szCs w:val="20"/>
              </w:rPr>
              <w:lastRenderedPageBreak/>
              <w:t>1. Depósitos previos:</w:t>
            </w:r>
          </w:p>
        </w:tc>
        <w:tc>
          <w:tcPr>
            <w:tcW w:w="677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lastRenderedPageBreak/>
              <w:t>a) Que existe declaración de urgente ocupación de los bienes.</w:t>
            </w:r>
          </w:p>
        </w:tc>
      </w:tr>
      <w:tr w:rsidR="00EF5CBC" w:rsidRPr="00EF5CBC" w:rsidTr="00C61E2B">
        <w:trPr>
          <w:trHeight w:val="46"/>
        </w:trPr>
        <w:tc>
          <w:tcPr>
            <w:tcW w:w="286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7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acta previa a la ocupación.</w:t>
            </w:r>
          </w:p>
        </w:tc>
      </w:tr>
      <w:tr w:rsidR="00EF5CBC" w:rsidRPr="00EF5CBC" w:rsidTr="00C61E2B">
        <w:trPr>
          <w:trHeight w:val="46"/>
        </w:trPr>
        <w:tc>
          <w:tcPr>
            <w:tcW w:w="286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7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hoja de depósito previo a la ocupación.</w:t>
            </w:r>
          </w:p>
        </w:tc>
      </w:tr>
      <w:tr w:rsidR="00EF5CBC" w:rsidRPr="00EF5CBC" w:rsidTr="00C61E2B">
        <w:trPr>
          <w:trHeight w:val="293"/>
        </w:trPr>
        <w:tc>
          <w:tcPr>
            <w:tcW w:w="286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lastRenderedPageBreak/>
              <w:t>Expropiación forzosa.                   2. Indemnización por rápida ocupación:</w:t>
            </w:r>
          </w:p>
        </w:tc>
        <w:tc>
          <w:tcPr>
            <w:tcW w:w="677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declaración de urgente ocupación de los bienes.</w:t>
            </w:r>
          </w:p>
        </w:tc>
      </w:tr>
      <w:tr w:rsidR="00EF5CBC" w:rsidRPr="00EF5CBC" w:rsidTr="00C61E2B">
        <w:trPr>
          <w:trHeight w:val="600"/>
        </w:trPr>
        <w:tc>
          <w:tcPr>
            <w:tcW w:w="286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71"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acta previa a la ocupación.</w:t>
            </w:r>
          </w:p>
        </w:tc>
      </w:tr>
      <w:tr w:rsidR="00EF5CBC" w:rsidRPr="00EF5CBC" w:rsidTr="00C61E2B">
        <w:trPr>
          <w:trHeight w:val="46"/>
        </w:trPr>
        <w:tc>
          <w:tcPr>
            <w:tcW w:w="286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71"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documento de liquidación de la indemnización.</w:t>
            </w:r>
          </w:p>
        </w:tc>
      </w:tr>
      <w:tr w:rsidR="00EF5CBC" w:rsidRPr="00EF5CBC" w:rsidTr="00C61E2B">
        <w:trPr>
          <w:trHeight w:val="780"/>
        </w:trPr>
        <w:tc>
          <w:tcPr>
            <w:tcW w:w="2868"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Expropiación forzosa.                   3. En los expedientes de determinación del justiprecio por los procedimientos ordinario y de mutuo acuerdo:</w:t>
            </w:r>
          </w:p>
        </w:tc>
        <w:tc>
          <w:tcPr>
            <w:tcW w:w="6771" w:type="dxa"/>
            <w:tcBorders>
              <w:top w:val="nil"/>
              <w:left w:val="nil"/>
              <w:bottom w:val="nil"/>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la propuesta a la que se refiere el artículo 25.a) del Decreto de 26 de abril de 1957 por el que se aprueba el Reglamento de la Ley de Expropiación Forzosa.</w:t>
            </w:r>
          </w:p>
        </w:tc>
      </w:tr>
      <w:tr w:rsidR="00EF5CBC" w:rsidRPr="00EF5CBC" w:rsidTr="00C61E2B">
        <w:trPr>
          <w:trHeight w:val="842"/>
        </w:trPr>
        <w:tc>
          <w:tcPr>
            <w:tcW w:w="2868"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771" w:type="dxa"/>
            <w:tcBorders>
              <w:top w:val="nil"/>
              <w:left w:val="nil"/>
              <w:bottom w:val="single" w:sz="8" w:space="0" w:color="auto"/>
              <w:right w:val="single" w:sz="8" w:space="0" w:color="auto"/>
            </w:tcBorders>
            <w:shd w:val="clear" w:color="auto" w:fill="auto"/>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informe de los servicios técnicos correspondientes en relación con el valor del bien objeto de la expropiación.</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Adquisiciones de bienes.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723"/>
        <w:gridCol w:w="6916"/>
      </w:tblGrid>
      <w:tr w:rsidR="00EF5CBC" w:rsidRPr="00EF5CBC" w:rsidTr="00C61E2B">
        <w:trPr>
          <w:trHeight w:val="315"/>
        </w:trPr>
        <w:tc>
          <w:tcPr>
            <w:tcW w:w="2723"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ADQUISICION DE BIENES</w:t>
            </w:r>
          </w:p>
        </w:tc>
        <w:tc>
          <w:tcPr>
            <w:tcW w:w="6916"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723"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916"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600"/>
        </w:trPr>
        <w:tc>
          <w:tcPr>
            <w:tcW w:w="272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Adquisición de bienes.                     1. Aprobación del gasto.</w:t>
            </w: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En los procedimientos de adquisición por concurso, que existe pliego de condiciones del concurso.</w:t>
            </w:r>
          </w:p>
        </w:tc>
      </w:tr>
      <w:tr w:rsidR="00EF5CBC" w:rsidRPr="00EF5CBC" w:rsidTr="00C61E2B">
        <w:trPr>
          <w:trHeight w:val="311"/>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existe informe del Servicio Jurídico sobre los aspectos jurídicos de la contratación.</w:t>
            </w:r>
          </w:p>
        </w:tc>
      </w:tr>
      <w:tr w:rsidR="00EF5CBC" w:rsidRPr="00EF5CBC" w:rsidTr="00C61E2B">
        <w:trPr>
          <w:trHeight w:val="263"/>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tasación del bien, debidamente aprobada, que incorporará el correspondiente estudio de mercado.</w:t>
            </w:r>
          </w:p>
        </w:tc>
      </w:tr>
      <w:tr w:rsidR="00EF5CBC" w:rsidRPr="00EF5CBC" w:rsidTr="00C61E2B">
        <w:trPr>
          <w:trHeight w:val="837"/>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Se ha depurado las situaciones físicas y jurídicas de los bienes inmuebles a adquirir con mención expresa de su alienabilidad, practicándose el deslinde si es necesario e inscribiéndose en el Registro de la Propiedad si no lo estuvieran.</w:t>
            </w:r>
          </w:p>
        </w:tc>
      </w:tr>
      <w:tr w:rsidR="00EF5CBC" w:rsidRPr="00EF5CBC" w:rsidTr="00C61E2B">
        <w:trPr>
          <w:trHeight w:val="600"/>
        </w:trPr>
        <w:tc>
          <w:tcPr>
            <w:tcW w:w="2723"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Adquisición de bienes.                     2. Compromiso del gasto.</w:t>
            </w: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del Servicio Jurídico sobre la propuesta de adjudicación.</w:t>
            </w:r>
          </w:p>
        </w:tc>
      </w:tr>
      <w:tr w:rsidR="00EF5CBC" w:rsidRPr="00EF5CBC" w:rsidTr="00C61E2B">
        <w:trPr>
          <w:trHeight w:val="876"/>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Cuando se proponga como procedimiento de adquisición del bien inmueble la adquisición directa, que concurren las circunstancias previstas para ello en la normativa, y que existe oferta de venta con expresión del precio, del plazo de duración de la oferta y de las condiciones del contrato.</w:t>
            </w:r>
          </w:p>
        </w:tc>
      </w:tr>
      <w:tr w:rsidR="00EF5CBC" w:rsidRPr="00EF5CBC" w:rsidTr="00C61E2B">
        <w:trPr>
          <w:trHeight w:val="501"/>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caso de adquisición por concurso, cuando se haya constituido mesa, que se adjudique a la propuesta formulada por ella o, en caso contrario, que existe decisión motivada del órgano competente para la adjudicación.</w:t>
            </w:r>
          </w:p>
        </w:tc>
      </w:tr>
      <w:tr w:rsidR="00EF5CBC" w:rsidRPr="00EF5CBC" w:rsidTr="00C61E2B">
        <w:trPr>
          <w:trHeight w:val="520"/>
        </w:trPr>
        <w:tc>
          <w:tcPr>
            <w:tcW w:w="2723"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916"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 xml:space="preserve">d) Consta la acreditación de estar al corriente de las obligaciones tributarias y con la seguridad social, así como no </w:t>
            </w:r>
            <w:r w:rsidRPr="00EF5CBC">
              <w:rPr>
                <w:rFonts w:ascii="Tahoma" w:hAnsi="Tahoma" w:cs="Tahoma"/>
                <w:color w:val="0070C0"/>
                <w:sz w:val="20"/>
                <w:szCs w:val="20"/>
              </w:rPr>
              <w:lastRenderedPageBreak/>
              <w:t>estar incurso en responsabilidad.</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Arrendamiento de bienes muebles.</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3096"/>
        <w:gridCol w:w="6600"/>
      </w:tblGrid>
      <w:tr w:rsidR="00EF5CBC" w:rsidRPr="00EF5CBC" w:rsidTr="00C61E2B">
        <w:trPr>
          <w:trHeight w:val="495"/>
        </w:trPr>
        <w:tc>
          <w:tcPr>
            <w:tcW w:w="3039"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ARRENDAMIENTO DE BIENES INMUEBLES</w:t>
            </w:r>
          </w:p>
        </w:tc>
        <w:tc>
          <w:tcPr>
            <w:tcW w:w="6600"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420"/>
        </w:trPr>
        <w:tc>
          <w:tcPr>
            <w:tcW w:w="3039"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6600"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600"/>
        </w:trPr>
        <w:tc>
          <w:tcPr>
            <w:tcW w:w="3039"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Arrendamiento de bienes inmuebles.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Aprobación del gasto.</w:t>
            </w:r>
          </w:p>
        </w:tc>
        <w:tc>
          <w:tcPr>
            <w:tcW w:w="6600"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 xml:space="preserve">a) Que existe informe técnico, que recogerá el correspondiente estudio de mercado. </w:t>
            </w:r>
          </w:p>
        </w:tc>
      </w:tr>
      <w:tr w:rsidR="00EF5CBC" w:rsidRPr="00EF5CBC" w:rsidTr="00C61E2B">
        <w:trPr>
          <w:trHeight w:val="600"/>
        </w:trPr>
        <w:tc>
          <w:tcPr>
            <w:tcW w:w="3039"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En los procedimientos de arrendamiento por concurso, que existe pliego de condiciones del concurso.</w:t>
            </w:r>
          </w:p>
        </w:tc>
      </w:tr>
      <w:tr w:rsidR="00EF5CBC" w:rsidRPr="00EF5CBC" w:rsidTr="00C61E2B">
        <w:trPr>
          <w:trHeight w:val="46"/>
        </w:trPr>
        <w:tc>
          <w:tcPr>
            <w:tcW w:w="3039" w:type="dxa"/>
            <w:vMerge/>
            <w:tcBorders>
              <w:top w:val="nil"/>
              <w:left w:val="single" w:sz="8" w:space="0" w:color="auto"/>
              <w:bottom w:val="single" w:sz="4" w:space="0" w:color="auto"/>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single" w:sz="4"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Que existe informe del Servicio Jurídico sobre los aspectos jurídicos de la contratación.</w:t>
            </w:r>
          </w:p>
        </w:tc>
      </w:tr>
      <w:tr w:rsidR="00EF5CBC" w:rsidRPr="00EF5CBC" w:rsidTr="00C61E2B">
        <w:trPr>
          <w:trHeight w:val="315"/>
        </w:trPr>
        <w:tc>
          <w:tcPr>
            <w:tcW w:w="3039" w:type="dxa"/>
            <w:vMerge w:val="restart"/>
            <w:tcBorders>
              <w:top w:val="single" w:sz="4"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Arrendamiento de bienes inmuebles.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2. Acuerdo de Concertación de Arrendamiento.</w:t>
            </w:r>
          </w:p>
        </w:tc>
        <w:tc>
          <w:tcPr>
            <w:tcW w:w="6600" w:type="dxa"/>
            <w:tcBorders>
              <w:top w:val="single" w:sz="4"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informe del Servicio Jurídico sobre los aspectos jurídicos de la propuesta.</w:t>
            </w:r>
          </w:p>
        </w:tc>
      </w:tr>
      <w:tr w:rsidR="00EF5CBC" w:rsidRPr="00EF5CBC" w:rsidTr="00C61E2B">
        <w:trPr>
          <w:trHeight w:val="714"/>
        </w:trPr>
        <w:tc>
          <w:tcPr>
            <w:tcW w:w="3039"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Cuando se proponga el concierto directo de arrendamiento de un bien inmueble, que concurren las circunstancias previstas para ello en la normativa.</w:t>
            </w:r>
          </w:p>
        </w:tc>
      </w:tr>
      <w:tr w:rsidR="00EF5CBC" w:rsidRPr="00EF5CBC" w:rsidTr="00C61E2B">
        <w:trPr>
          <w:trHeight w:val="456"/>
        </w:trPr>
        <w:tc>
          <w:tcPr>
            <w:tcW w:w="3039"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c) En caso de adquisición por concurso, cuando se haya constituido mesa, que se adjudique a la propuesta formulada por ella o, en caso contrario, que existe decisión motivada del órgano competente para la adjudicación.</w:t>
            </w:r>
          </w:p>
        </w:tc>
      </w:tr>
      <w:tr w:rsidR="00EF5CBC" w:rsidRPr="00EF5CBC" w:rsidTr="00C61E2B">
        <w:trPr>
          <w:trHeight w:val="600"/>
        </w:trPr>
        <w:tc>
          <w:tcPr>
            <w:tcW w:w="3039"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Arrendamiento de bienes inmuebles.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3. Prórroga y novación.</w:t>
            </w:r>
          </w:p>
        </w:tc>
        <w:tc>
          <w:tcPr>
            <w:tcW w:w="6600" w:type="dxa"/>
            <w:tcBorders>
              <w:top w:val="nil"/>
              <w:left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en su caso, existe informe técnico, que recogerá el correspondiente estudio de mercado.</w:t>
            </w:r>
          </w:p>
        </w:tc>
      </w:tr>
      <w:tr w:rsidR="00EF5CBC" w:rsidRPr="00EF5CBC" w:rsidTr="00C61E2B">
        <w:trPr>
          <w:trHeight w:val="151"/>
        </w:trPr>
        <w:tc>
          <w:tcPr>
            <w:tcW w:w="3039"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single" w:sz="4"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en su caso, existe informe del Servicio Jurídico sobre los aspectos jurídicos de la propuesta.</w:t>
            </w:r>
          </w:p>
        </w:tc>
      </w:tr>
      <w:tr w:rsidR="00EF5CBC" w:rsidRPr="00EF5CBC" w:rsidTr="00C61E2B">
        <w:trPr>
          <w:trHeight w:val="600"/>
        </w:trPr>
        <w:tc>
          <w:tcPr>
            <w:tcW w:w="3039"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Arrendamiento de bienes inmuebles.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 4) Reconocimiento de la Obligación.</w:t>
            </w:r>
          </w:p>
        </w:tc>
        <w:tc>
          <w:tcPr>
            <w:tcW w:w="6600" w:type="dxa"/>
            <w:tcBorders>
              <w:top w:val="single" w:sz="4"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a) Que existe la conformidad de los servicios competentes con la prestación realizada.</w:t>
            </w:r>
          </w:p>
        </w:tc>
      </w:tr>
      <w:tr w:rsidR="00EF5CBC" w:rsidRPr="00EF5CBC" w:rsidTr="00C61E2B">
        <w:trPr>
          <w:trHeight w:val="536"/>
        </w:trPr>
        <w:tc>
          <w:tcPr>
            <w:tcW w:w="3039"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6600"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0000"/>
                <w:sz w:val="20"/>
                <w:szCs w:val="20"/>
              </w:rPr>
            </w:pPr>
            <w:r w:rsidRPr="00EF5CBC">
              <w:rPr>
                <w:rFonts w:ascii="Tahoma" w:hAnsi="Tahoma" w:cs="Tahoma"/>
                <w:color w:val="000000"/>
                <w:sz w:val="20"/>
                <w:szCs w:val="20"/>
              </w:rPr>
              <w:t>b) Que se aporta factura por la empresa adjudicataria, de acuerdo con lo previsto en la normativa reguladora las obligaciones de facturación.</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t xml:space="preserve"> Anticipos de caja fija y Pagos a Justificar.</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18" w:type="dxa"/>
        <w:tblInd w:w="637" w:type="dxa"/>
        <w:tblCellMar>
          <w:left w:w="70" w:type="dxa"/>
          <w:right w:w="70" w:type="dxa"/>
        </w:tblCellMar>
        <w:tblLook w:val="04A0"/>
      </w:tblPr>
      <w:tblGrid>
        <w:gridCol w:w="2531"/>
        <w:gridCol w:w="7087"/>
      </w:tblGrid>
      <w:tr w:rsidR="00EF5CBC" w:rsidRPr="00EF5CBC" w:rsidTr="00C61E2B">
        <w:trPr>
          <w:trHeight w:val="315"/>
        </w:trPr>
        <w:tc>
          <w:tcPr>
            <w:tcW w:w="2531"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ANTICIPO DE CAJA FIJA</w:t>
            </w:r>
          </w:p>
        </w:tc>
        <w:tc>
          <w:tcPr>
            <w:tcW w:w="7087"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531" w:type="dxa"/>
            <w:vMerge/>
            <w:tcBorders>
              <w:top w:val="single" w:sz="8" w:space="0" w:color="auto"/>
              <w:left w:val="single" w:sz="8" w:space="0" w:color="auto"/>
              <w:bottom w:val="single" w:sz="8" w:space="0" w:color="000000"/>
              <w:right w:val="single" w:sz="4" w:space="0" w:color="auto"/>
            </w:tcBorders>
            <w:vAlign w:val="center"/>
            <w:hideMark/>
          </w:tcPr>
          <w:p w:rsidR="00EF5CBC" w:rsidRPr="00EF5CBC" w:rsidRDefault="00EF5CBC" w:rsidP="00EF5CBC">
            <w:pPr>
              <w:ind w:left="567" w:right="567"/>
              <w:rPr>
                <w:rFonts w:ascii="Tahoma" w:hAnsi="Tahoma" w:cs="Tahoma"/>
                <w:b/>
                <w:bCs/>
                <w:color w:val="000000"/>
                <w:sz w:val="20"/>
                <w:szCs w:val="20"/>
              </w:rPr>
            </w:pPr>
          </w:p>
        </w:tc>
        <w:tc>
          <w:tcPr>
            <w:tcW w:w="7087"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223"/>
        </w:trPr>
        <w:tc>
          <w:tcPr>
            <w:tcW w:w="2531" w:type="dxa"/>
            <w:vMerge w:val="restart"/>
            <w:tcBorders>
              <w:top w:val="nil"/>
              <w:left w:val="single" w:sz="8" w:space="0" w:color="auto"/>
              <w:bottom w:val="nil"/>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Anticipo de caja fija.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1. Constitución:</w:t>
            </w: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existe solicitud del ACF.</w:t>
            </w:r>
          </w:p>
        </w:tc>
      </w:tr>
      <w:tr w:rsidR="00EF5CBC" w:rsidRPr="00EF5CBC" w:rsidTr="00C61E2B">
        <w:trPr>
          <w:trHeight w:val="419"/>
        </w:trPr>
        <w:tc>
          <w:tcPr>
            <w:tcW w:w="2531" w:type="dxa"/>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Que se acredita que el importe del anticipo no supera el porcentaje de los créditos fijados en la normativa.</w:t>
            </w:r>
          </w:p>
        </w:tc>
      </w:tr>
      <w:tr w:rsidR="00EF5CBC" w:rsidRPr="00EF5CBC" w:rsidTr="00C61E2B">
        <w:trPr>
          <w:trHeight w:val="243"/>
        </w:trPr>
        <w:tc>
          <w:tcPr>
            <w:tcW w:w="2531" w:type="dxa"/>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tabs>
                <w:tab w:val="left" w:pos="258"/>
              </w:tabs>
              <w:ind w:left="567" w:right="567"/>
              <w:jc w:val="both"/>
              <w:rPr>
                <w:rFonts w:ascii="Tahoma" w:hAnsi="Tahoma" w:cs="Tahoma"/>
                <w:color w:val="0070C0"/>
                <w:sz w:val="20"/>
                <w:szCs w:val="20"/>
              </w:rPr>
            </w:pPr>
            <w:r w:rsidRPr="00EF5CBC">
              <w:rPr>
                <w:rFonts w:ascii="Tahoma" w:hAnsi="Tahoma" w:cs="Tahoma"/>
                <w:color w:val="0070C0"/>
                <w:sz w:val="20"/>
                <w:szCs w:val="20"/>
              </w:rPr>
              <w:t>c) Que se acredita la designación del cajero pagador.</w:t>
            </w:r>
          </w:p>
        </w:tc>
      </w:tr>
      <w:tr w:rsidR="00EF5CBC" w:rsidRPr="00EF5CBC" w:rsidTr="00C61E2B">
        <w:trPr>
          <w:trHeight w:val="428"/>
        </w:trPr>
        <w:tc>
          <w:tcPr>
            <w:tcW w:w="2531" w:type="dxa"/>
            <w:vMerge/>
            <w:tcBorders>
              <w:top w:val="nil"/>
              <w:left w:val="single" w:sz="8" w:space="0" w:color="auto"/>
              <w:bottom w:val="nil"/>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Documento contable acreditativo de la retención de crédito en las aplicaciones  correspondientes por el gasto máximo permitido.</w:t>
            </w:r>
          </w:p>
        </w:tc>
      </w:tr>
      <w:tr w:rsidR="00EF5CBC" w:rsidRPr="00EF5CBC" w:rsidTr="00C61E2B">
        <w:trPr>
          <w:trHeight w:val="334"/>
        </w:trPr>
        <w:tc>
          <w:tcPr>
            <w:tcW w:w="2531" w:type="dxa"/>
            <w:vMerge w:val="restart"/>
            <w:tcBorders>
              <w:top w:val="single" w:sz="8" w:space="0" w:color="auto"/>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Anticipo de caja fija.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2. Reposiciones:</w:t>
            </w:r>
          </w:p>
        </w:tc>
        <w:tc>
          <w:tcPr>
            <w:tcW w:w="7087" w:type="dxa"/>
            <w:tcBorders>
              <w:top w:val="single" w:sz="8" w:space="0" w:color="auto"/>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la solicitud de reposición se realice por el Cajero Pagador.</w:t>
            </w:r>
          </w:p>
        </w:tc>
      </w:tr>
      <w:tr w:rsidR="00EF5CBC" w:rsidRPr="00EF5CBC" w:rsidTr="00C61E2B">
        <w:trPr>
          <w:trHeight w:val="600"/>
        </w:trPr>
        <w:tc>
          <w:tcPr>
            <w:tcW w:w="2531"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Si se trata de una reposición voluntaria, que su cuantía sea igual o superior al porcentaje fijado en la normativa.</w:t>
            </w:r>
          </w:p>
        </w:tc>
      </w:tr>
      <w:tr w:rsidR="00EF5CBC" w:rsidRPr="00EF5CBC" w:rsidTr="00C61E2B">
        <w:trPr>
          <w:trHeight w:val="300"/>
        </w:trPr>
        <w:tc>
          <w:tcPr>
            <w:tcW w:w="2531"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Cuenta justificativa debidamente firmada y cuadrada.</w:t>
            </w:r>
          </w:p>
        </w:tc>
      </w:tr>
      <w:tr w:rsidR="00EF5CBC" w:rsidRPr="00EF5CBC" w:rsidTr="00C61E2B">
        <w:trPr>
          <w:trHeight w:val="1033"/>
        </w:trPr>
        <w:tc>
          <w:tcPr>
            <w:tcW w:w="2531"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Que cada gasto esté justificado mediante la correspondiente factura o documento justificativo original, y que el importe total de las cuentas justificativas coincide con el de la relación el de los documentos contables de ejecución del presupuesto de gastos y con el de los justificantes de pago.</w:t>
            </w:r>
          </w:p>
        </w:tc>
      </w:tr>
      <w:tr w:rsidR="00EF5CBC" w:rsidRPr="00EF5CBC" w:rsidTr="00C61E2B">
        <w:trPr>
          <w:trHeight w:val="496"/>
        </w:trPr>
        <w:tc>
          <w:tcPr>
            <w:tcW w:w="2531"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Facturas originales, conforme a la normativa vigente, justificativas de los pagos.</w:t>
            </w:r>
          </w:p>
        </w:tc>
      </w:tr>
      <w:tr w:rsidR="00EF5CBC" w:rsidRPr="00EF5CBC" w:rsidTr="00C61E2B">
        <w:trPr>
          <w:trHeight w:val="376"/>
        </w:trPr>
        <w:tc>
          <w:tcPr>
            <w:tcW w:w="2531" w:type="dxa"/>
            <w:vMerge/>
            <w:tcBorders>
              <w:top w:val="single" w:sz="8" w:space="0" w:color="auto"/>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f) Acreditación de la existencia de Saldo en el crédito retenido para la imputación de la reposición.</w:t>
            </w:r>
          </w:p>
        </w:tc>
      </w:tr>
      <w:tr w:rsidR="00EF5CBC" w:rsidRPr="00EF5CBC" w:rsidTr="00C61E2B">
        <w:trPr>
          <w:trHeight w:val="303"/>
        </w:trPr>
        <w:tc>
          <w:tcPr>
            <w:tcW w:w="2531"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 xml:space="preserve">Anticipo de caja fija.  </w:t>
            </w:r>
          </w:p>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3. Cuenta global y cierre: (Cancelación).</w:t>
            </w: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a) Que la solicitud de cancelación se realiza por el Cajero Pagador.</w:t>
            </w:r>
          </w:p>
        </w:tc>
      </w:tr>
      <w:tr w:rsidR="00EF5CBC" w:rsidRPr="00EF5CBC" w:rsidTr="00C61E2B">
        <w:trPr>
          <w:trHeight w:val="690"/>
        </w:trPr>
        <w:tc>
          <w:tcPr>
            <w:tcW w:w="2531"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b) En caso de que la cancelación se acompañe de la cuenta justificativa, que cada gasto esté justificado mediante la correspondiente factura o documento justificativo original.</w:t>
            </w:r>
          </w:p>
        </w:tc>
      </w:tr>
      <w:tr w:rsidR="00EF5CBC" w:rsidRPr="00EF5CBC" w:rsidTr="00C61E2B">
        <w:trPr>
          <w:trHeight w:val="151"/>
        </w:trPr>
        <w:tc>
          <w:tcPr>
            <w:tcW w:w="2531"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c) En su caso, acreditación del reintegro de las cantidades no invertidas.</w:t>
            </w:r>
          </w:p>
        </w:tc>
      </w:tr>
      <w:tr w:rsidR="00EF5CBC" w:rsidRPr="00EF5CBC" w:rsidTr="00C61E2B">
        <w:trPr>
          <w:trHeight w:val="736"/>
        </w:trPr>
        <w:tc>
          <w:tcPr>
            <w:tcW w:w="2531"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d) Cuenta global debidamente firmada y cuadrada. El importe de las cuentas justificativas debe coincidir con los documentos contables de ejecución del presupuesto de gastos.</w:t>
            </w:r>
          </w:p>
        </w:tc>
      </w:tr>
      <w:tr w:rsidR="00EF5CBC" w:rsidRPr="00EF5CBC" w:rsidTr="00C61E2B">
        <w:trPr>
          <w:trHeight w:val="380"/>
        </w:trPr>
        <w:tc>
          <w:tcPr>
            <w:tcW w:w="2531"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0070C0"/>
                <w:sz w:val="20"/>
                <w:szCs w:val="20"/>
              </w:rPr>
            </w:pPr>
            <w:r w:rsidRPr="00EF5CBC">
              <w:rPr>
                <w:rFonts w:ascii="Tahoma" w:hAnsi="Tahoma" w:cs="Tahoma"/>
                <w:color w:val="0070C0"/>
                <w:sz w:val="20"/>
                <w:szCs w:val="20"/>
              </w:rPr>
              <w:t>e) Facturas originales, conforme a la normativa vigente, justificativas de los pagos.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639" w:type="dxa"/>
        <w:tblInd w:w="637" w:type="dxa"/>
        <w:tblCellMar>
          <w:left w:w="70" w:type="dxa"/>
          <w:right w:w="70" w:type="dxa"/>
        </w:tblCellMar>
        <w:tblLook w:val="04A0"/>
      </w:tblPr>
      <w:tblGrid>
        <w:gridCol w:w="2497"/>
        <w:gridCol w:w="7198"/>
      </w:tblGrid>
      <w:tr w:rsidR="00EF5CBC" w:rsidRPr="00F83D8F" w:rsidTr="00C61E2B">
        <w:trPr>
          <w:trHeight w:val="315"/>
        </w:trPr>
        <w:tc>
          <w:tcPr>
            <w:tcW w:w="2441"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EF5CBC" w:rsidRPr="00F83D8F" w:rsidRDefault="00EF5CBC" w:rsidP="00EF5CBC">
            <w:pPr>
              <w:ind w:left="567" w:right="567"/>
              <w:rPr>
                <w:rFonts w:ascii="Tahoma" w:hAnsi="Tahoma" w:cs="Tahoma"/>
                <w:b/>
                <w:bCs/>
                <w:color w:val="000000"/>
                <w:sz w:val="20"/>
                <w:szCs w:val="20"/>
              </w:rPr>
            </w:pPr>
            <w:r w:rsidRPr="00F83D8F">
              <w:rPr>
                <w:rFonts w:ascii="Tahoma" w:hAnsi="Tahoma" w:cs="Tahoma"/>
                <w:b/>
                <w:bCs/>
                <w:color w:val="000000"/>
                <w:sz w:val="20"/>
                <w:szCs w:val="20"/>
              </w:rPr>
              <w:t>PAGOS A JUSTIFICAR</w:t>
            </w:r>
          </w:p>
        </w:tc>
        <w:tc>
          <w:tcPr>
            <w:tcW w:w="7198" w:type="dxa"/>
            <w:tcBorders>
              <w:top w:val="single" w:sz="8" w:space="0" w:color="auto"/>
              <w:left w:val="nil"/>
              <w:bottom w:val="single" w:sz="8" w:space="0" w:color="auto"/>
              <w:right w:val="single" w:sz="8" w:space="0" w:color="auto"/>
            </w:tcBorders>
            <w:shd w:val="clear" w:color="auto" w:fill="auto"/>
            <w:noWrap/>
            <w:vAlign w:val="bottom"/>
            <w:hideMark/>
          </w:tcPr>
          <w:p w:rsidR="00EF5CBC" w:rsidRPr="00F83D8F" w:rsidRDefault="00EF5CBC" w:rsidP="00EF5CBC">
            <w:pPr>
              <w:ind w:left="567" w:right="567"/>
              <w:rPr>
                <w:rFonts w:ascii="Tahoma" w:hAnsi="Tahoma" w:cs="Tahoma"/>
                <w:b/>
                <w:bCs/>
                <w:color w:val="000000"/>
                <w:sz w:val="20"/>
                <w:szCs w:val="20"/>
              </w:rPr>
            </w:pPr>
            <w:r w:rsidRPr="00F83D8F">
              <w:rPr>
                <w:rFonts w:ascii="Tahoma" w:hAnsi="Tahoma" w:cs="Tahoma"/>
                <w:b/>
                <w:bCs/>
                <w:color w:val="000000"/>
                <w:sz w:val="20"/>
                <w:szCs w:val="20"/>
              </w:rPr>
              <w:t>AMRB: Extremos adicionales a incorporar al expediente.</w:t>
            </w:r>
          </w:p>
        </w:tc>
      </w:tr>
      <w:tr w:rsidR="00EF5CBC" w:rsidRPr="00F83D8F" w:rsidTr="00C61E2B">
        <w:trPr>
          <w:trHeight w:val="315"/>
        </w:trPr>
        <w:tc>
          <w:tcPr>
            <w:tcW w:w="2441" w:type="dxa"/>
            <w:vMerge/>
            <w:tcBorders>
              <w:top w:val="single" w:sz="8" w:space="0" w:color="auto"/>
              <w:left w:val="single" w:sz="8" w:space="0" w:color="auto"/>
              <w:bottom w:val="single" w:sz="8" w:space="0" w:color="000000"/>
              <w:right w:val="single" w:sz="4" w:space="0" w:color="auto"/>
            </w:tcBorders>
            <w:vAlign w:val="center"/>
            <w:hideMark/>
          </w:tcPr>
          <w:p w:rsidR="00EF5CBC" w:rsidRPr="00F83D8F" w:rsidRDefault="00EF5CBC" w:rsidP="00EF5CBC">
            <w:pPr>
              <w:ind w:left="567" w:right="567"/>
              <w:rPr>
                <w:rFonts w:ascii="Tahoma" w:hAnsi="Tahoma" w:cs="Tahoma"/>
                <w:b/>
                <w:bCs/>
                <w:color w:val="000000"/>
                <w:sz w:val="20"/>
                <w:szCs w:val="20"/>
              </w:rPr>
            </w:pPr>
          </w:p>
        </w:tc>
        <w:tc>
          <w:tcPr>
            <w:tcW w:w="7198" w:type="dxa"/>
            <w:tcBorders>
              <w:top w:val="nil"/>
              <w:left w:val="nil"/>
              <w:bottom w:val="single" w:sz="8" w:space="0" w:color="auto"/>
              <w:right w:val="single" w:sz="8" w:space="0" w:color="auto"/>
            </w:tcBorders>
            <w:shd w:val="clear" w:color="auto" w:fill="auto"/>
            <w:noWrap/>
            <w:vAlign w:val="bottom"/>
            <w:hideMark/>
          </w:tcPr>
          <w:p w:rsidR="00EF5CBC" w:rsidRPr="00F83D8F" w:rsidRDefault="00EF5CBC" w:rsidP="00EF5CBC">
            <w:pPr>
              <w:ind w:left="567" w:right="567"/>
              <w:rPr>
                <w:rFonts w:ascii="Tahoma" w:hAnsi="Tahoma" w:cs="Tahoma"/>
                <w:b/>
                <w:bCs/>
                <w:color w:val="000000"/>
                <w:sz w:val="20"/>
                <w:szCs w:val="20"/>
              </w:rPr>
            </w:pPr>
            <w:r w:rsidRPr="00F83D8F">
              <w:rPr>
                <w:rFonts w:ascii="Tahoma" w:hAnsi="Tahoma" w:cs="Tahoma"/>
                <w:b/>
                <w:bCs/>
                <w:color w:val="000000"/>
                <w:sz w:val="20"/>
                <w:szCs w:val="20"/>
              </w:rPr>
              <w:t> </w:t>
            </w:r>
          </w:p>
        </w:tc>
      </w:tr>
      <w:tr w:rsidR="00EF5CBC" w:rsidRPr="00F83D8F" w:rsidTr="00C61E2B">
        <w:trPr>
          <w:trHeight w:val="600"/>
        </w:trPr>
        <w:tc>
          <w:tcPr>
            <w:tcW w:w="2441" w:type="dxa"/>
            <w:vMerge w:val="restart"/>
            <w:tcBorders>
              <w:top w:val="nil"/>
              <w:left w:val="single" w:sz="8" w:space="0" w:color="auto"/>
              <w:bottom w:val="single" w:sz="8" w:space="0" w:color="000000"/>
              <w:right w:val="nil"/>
            </w:tcBorders>
            <w:shd w:val="clear" w:color="auto" w:fill="auto"/>
            <w:hideMark/>
          </w:tcPr>
          <w:p w:rsidR="00EF5CBC" w:rsidRPr="00F83D8F" w:rsidRDefault="00EF5CBC" w:rsidP="00EF5CBC">
            <w:pPr>
              <w:ind w:left="567" w:right="567"/>
              <w:rPr>
                <w:rFonts w:ascii="Tahoma" w:hAnsi="Tahoma" w:cs="Tahoma"/>
                <w:color w:val="000000"/>
                <w:sz w:val="20"/>
                <w:szCs w:val="20"/>
              </w:rPr>
            </w:pPr>
            <w:r w:rsidRPr="00F83D8F">
              <w:rPr>
                <w:rFonts w:ascii="Tahoma" w:hAnsi="Tahoma" w:cs="Tahoma"/>
                <w:color w:val="000000"/>
                <w:sz w:val="20"/>
                <w:szCs w:val="20"/>
              </w:rPr>
              <w:t>Pagos a justificar.       1. Expedición:</w:t>
            </w:r>
          </w:p>
        </w:tc>
        <w:tc>
          <w:tcPr>
            <w:tcW w:w="7198" w:type="dxa"/>
            <w:tcBorders>
              <w:top w:val="nil"/>
              <w:left w:val="nil"/>
              <w:bottom w:val="nil"/>
              <w:right w:val="single" w:sz="8" w:space="0" w:color="auto"/>
            </w:tcBorders>
            <w:shd w:val="clear" w:color="auto" w:fill="auto"/>
            <w:vAlign w:val="bottom"/>
            <w:hideMark/>
          </w:tcPr>
          <w:p w:rsidR="00EF5CBC" w:rsidRPr="00F83D8F" w:rsidRDefault="00EF5CBC" w:rsidP="00EF5CBC">
            <w:pPr>
              <w:ind w:left="567" w:right="567"/>
              <w:rPr>
                <w:rFonts w:ascii="Tahoma" w:hAnsi="Tahoma" w:cs="Tahoma"/>
                <w:color w:val="0070C0"/>
                <w:sz w:val="20"/>
                <w:szCs w:val="20"/>
              </w:rPr>
            </w:pPr>
            <w:r w:rsidRPr="00F83D8F">
              <w:rPr>
                <w:rFonts w:ascii="Tahoma" w:hAnsi="Tahoma" w:cs="Tahoma"/>
                <w:color w:val="0070C0"/>
                <w:sz w:val="20"/>
                <w:szCs w:val="20"/>
              </w:rPr>
              <w:t>a) Certificado contable de que el perceptor no tiene ningún pago pendiente de justificar.</w:t>
            </w:r>
          </w:p>
        </w:tc>
      </w:tr>
      <w:tr w:rsidR="00EF5CBC" w:rsidRPr="00F83D8F" w:rsidTr="00C61E2B">
        <w:trPr>
          <w:trHeight w:val="192"/>
        </w:trPr>
        <w:tc>
          <w:tcPr>
            <w:tcW w:w="2441" w:type="dxa"/>
            <w:vMerge/>
            <w:tcBorders>
              <w:top w:val="nil"/>
              <w:left w:val="single" w:sz="8" w:space="0" w:color="auto"/>
              <w:bottom w:val="single" w:sz="8" w:space="0" w:color="000000"/>
              <w:right w:val="nil"/>
            </w:tcBorders>
            <w:vAlign w:val="center"/>
            <w:hideMark/>
          </w:tcPr>
          <w:p w:rsidR="00EF5CBC" w:rsidRPr="00F83D8F" w:rsidRDefault="00EF5CBC" w:rsidP="00EF5CBC">
            <w:pPr>
              <w:ind w:left="567" w:right="567"/>
              <w:rPr>
                <w:rFonts w:ascii="Tahoma" w:hAnsi="Tahoma" w:cs="Tahoma"/>
                <w:color w:val="000000"/>
                <w:sz w:val="20"/>
                <w:szCs w:val="20"/>
              </w:rPr>
            </w:pPr>
          </w:p>
        </w:tc>
        <w:tc>
          <w:tcPr>
            <w:tcW w:w="7198" w:type="dxa"/>
            <w:tcBorders>
              <w:top w:val="nil"/>
              <w:left w:val="nil"/>
              <w:bottom w:val="single" w:sz="8" w:space="0" w:color="auto"/>
              <w:right w:val="single" w:sz="8" w:space="0" w:color="auto"/>
            </w:tcBorders>
            <w:shd w:val="clear" w:color="auto" w:fill="auto"/>
            <w:vAlign w:val="bottom"/>
            <w:hideMark/>
          </w:tcPr>
          <w:p w:rsidR="00EF5CBC" w:rsidRPr="00F83D8F" w:rsidRDefault="00EF5CBC" w:rsidP="00EF5CBC">
            <w:pPr>
              <w:ind w:left="567" w:right="567"/>
              <w:rPr>
                <w:rFonts w:ascii="Tahoma" w:hAnsi="Tahoma" w:cs="Tahoma"/>
                <w:color w:val="0070C0"/>
                <w:sz w:val="20"/>
                <w:szCs w:val="20"/>
              </w:rPr>
            </w:pPr>
            <w:r w:rsidRPr="00F83D8F">
              <w:rPr>
                <w:rFonts w:ascii="Tahoma" w:hAnsi="Tahoma" w:cs="Tahoma"/>
                <w:color w:val="0070C0"/>
                <w:sz w:val="20"/>
                <w:szCs w:val="20"/>
              </w:rPr>
              <w:t>b) Que la expedición de la orden de pago a justificar cumple con el Plan de Disposición de Fondos de la Tesorería aprobado por el Presidente de la corporación.</w:t>
            </w:r>
          </w:p>
        </w:tc>
      </w:tr>
      <w:tr w:rsidR="00EF5CBC" w:rsidRPr="00F83D8F" w:rsidTr="00C61E2B">
        <w:trPr>
          <w:trHeight w:val="600"/>
        </w:trPr>
        <w:tc>
          <w:tcPr>
            <w:tcW w:w="2441" w:type="dxa"/>
            <w:vMerge w:val="restart"/>
            <w:tcBorders>
              <w:top w:val="nil"/>
              <w:left w:val="single" w:sz="8" w:space="0" w:color="auto"/>
              <w:bottom w:val="single" w:sz="8" w:space="0" w:color="000000"/>
              <w:right w:val="nil"/>
            </w:tcBorders>
            <w:shd w:val="clear" w:color="auto" w:fill="auto"/>
            <w:hideMark/>
          </w:tcPr>
          <w:p w:rsidR="00EF5CBC" w:rsidRPr="00F83D8F" w:rsidRDefault="00EF5CBC" w:rsidP="00EF5CBC">
            <w:pPr>
              <w:ind w:left="567" w:right="567"/>
              <w:rPr>
                <w:rFonts w:ascii="Tahoma" w:hAnsi="Tahoma" w:cs="Tahoma"/>
                <w:color w:val="000000"/>
                <w:sz w:val="20"/>
                <w:szCs w:val="20"/>
              </w:rPr>
            </w:pPr>
            <w:r w:rsidRPr="00F83D8F">
              <w:rPr>
                <w:rFonts w:ascii="Tahoma" w:hAnsi="Tahoma" w:cs="Tahoma"/>
                <w:color w:val="000000"/>
                <w:sz w:val="20"/>
                <w:szCs w:val="20"/>
              </w:rPr>
              <w:t>Pagos a justificar.       2. Justificación:</w:t>
            </w:r>
          </w:p>
        </w:tc>
        <w:tc>
          <w:tcPr>
            <w:tcW w:w="7198" w:type="dxa"/>
            <w:tcBorders>
              <w:top w:val="nil"/>
              <w:left w:val="nil"/>
              <w:bottom w:val="nil"/>
              <w:right w:val="single" w:sz="8" w:space="0" w:color="auto"/>
            </w:tcBorders>
            <w:shd w:val="clear" w:color="auto" w:fill="auto"/>
            <w:vAlign w:val="bottom"/>
            <w:hideMark/>
          </w:tcPr>
          <w:p w:rsidR="00EF5CBC" w:rsidRPr="00F83D8F" w:rsidRDefault="00EF5CBC" w:rsidP="00EF5CBC">
            <w:pPr>
              <w:ind w:left="567" w:right="567"/>
              <w:rPr>
                <w:rFonts w:ascii="Tahoma" w:hAnsi="Tahoma" w:cs="Tahoma"/>
                <w:color w:val="0070C0"/>
                <w:sz w:val="20"/>
                <w:szCs w:val="20"/>
              </w:rPr>
            </w:pPr>
            <w:r w:rsidRPr="00F83D8F">
              <w:rPr>
                <w:rFonts w:ascii="Tahoma" w:hAnsi="Tahoma" w:cs="Tahoma"/>
                <w:color w:val="0070C0"/>
                <w:sz w:val="20"/>
                <w:szCs w:val="20"/>
              </w:rPr>
              <w:t>a) Que el gasto esté justificado mediante la correspondiente factura o documento justificativo original.</w:t>
            </w:r>
          </w:p>
        </w:tc>
      </w:tr>
      <w:tr w:rsidR="00EF5CBC" w:rsidRPr="00F83D8F" w:rsidTr="00C61E2B">
        <w:trPr>
          <w:trHeight w:val="138"/>
        </w:trPr>
        <w:tc>
          <w:tcPr>
            <w:tcW w:w="2441" w:type="dxa"/>
            <w:vMerge/>
            <w:tcBorders>
              <w:top w:val="nil"/>
              <w:left w:val="single" w:sz="8" w:space="0" w:color="auto"/>
              <w:bottom w:val="single" w:sz="8" w:space="0" w:color="000000"/>
              <w:right w:val="nil"/>
            </w:tcBorders>
            <w:vAlign w:val="center"/>
            <w:hideMark/>
          </w:tcPr>
          <w:p w:rsidR="00EF5CBC" w:rsidRPr="00F83D8F" w:rsidRDefault="00EF5CBC" w:rsidP="00EF5CBC">
            <w:pPr>
              <w:ind w:left="567" w:right="567"/>
              <w:rPr>
                <w:rFonts w:ascii="Tahoma" w:hAnsi="Tahoma" w:cs="Tahoma"/>
                <w:color w:val="000000"/>
                <w:sz w:val="20"/>
                <w:szCs w:val="20"/>
              </w:rPr>
            </w:pPr>
          </w:p>
        </w:tc>
        <w:tc>
          <w:tcPr>
            <w:tcW w:w="7198" w:type="dxa"/>
            <w:tcBorders>
              <w:top w:val="nil"/>
              <w:left w:val="nil"/>
              <w:bottom w:val="nil"/>
              <w:right w:val="single" w:sz="8" w:space="0" w:color="auto"/>
            </w:tcBorders>
            <w:shd w:val="clear" w:color="auto" w:fill="auto"/>
            <w:vAlign w:val="bottom"/>
            <w:hideMark/>
          </w:tcPr>
          <w:p w:rsidR="00EF5CBC" w:rsidRPr="00F83D8F" w:rsidRDefault="00EF5CBC" w:rsidP="00EF5CBC">
            <w:pPr>
              <w:ind w:left="567" w:right="567"/>
              <w:rPr>
                <w:rFonts w:ascii="Tahoma" w:hAnsi="Tahoma" w:cs="Tahoma"/>
                <w:color w:val="0070C0"/>
                <w:sz w:val="20"/>
                <w:szCs w:val="20"/>
              </w:rPr>
            </w:pPr>
            <w:r w:rsidRPr="00F83D8F">
              <w:rPr>
                <w:rFonts w:ascii="Tahoma" w:hAnsi="Tahoma" w:cs="Tahoma"/>
                <w:color w:val="0070C0"/>
                <w:sz w:val="20"/>
                <w:szCs w:val="20"/>
              </w:rPr>
              <w:t>b) Facturas originales, conforme a la normativa vigente, justificativas de los pagos.</w:t>
            </w:r>
          </w:p>
        </w:tc>
      </w:tr>
      <w:tr w:rsidR="00EF5CBC" w:rsidRPr="00F83D8F" w:rsidTr="00C61E2B">
        <w:trPr>
          <w:trHeight w:val="143"/>
        </w:trPr>
        <w:tc>
          <w:tcPr>
            <w:tcW w:w="2441" w:type="dxa"/>
            <w:vMerge/>
            <w:tcBorders>
              <w:top w:val="nil"/>
              <w:left w:val="single" w:sz="8" w:space="0" w:color="auto"/>
              <w:bottom w:val="single" w:sz="8" w:space="0" w:color="000000"/>
              <w:right w:val="nil"/>
            </w:tcBorders>
            <w:vAlign w:val="center"/>
            <w:hideMark/>
          </w:tcPr>
          <w:p w:rsidR="00EF5CBC" w:rsidRPr="00F83D8F" w:rsidRDefault="00EF5CBC" w:rsidP="00EF5CBC">
            <w:pPr>
              <w:ind w:left="567" w:right="567"/>
              <w:rPr>
                <w:rFonts w:ascii="Tahoma" w:hAnsi="Tahoma" w:cs="Tahoma"/>
                <w:color w:val="000000"/>
                <w:sz w:val="20"/>
                <w:szCs w:val="20"/>
              </w:rPr>
            </w:pPr>
          </w:p>
        </w:tc>
        <w:tc>
          <w:tcPr>
            <w:tcW w:w="7198" w:type="dxa"/>
            <w:tcBorders>
              <w:top w:val="nil"/>
              <w:left w:val="nil"/>
              <w:bottom w:val="single" w:sz="8" w:space="0" w:color="auto"/>
              <w:right w:val="single" w:sz="8" w:space="0" w:color="auto"/>
            </w:tcBorders>
            <w:shd w:val="clear" w:color="auto" w:fill="auto"/>
            <w:vAlign w:val="bottom"/>
            <w:hideMark/>
          </w:tcPr>
          <w:p w:rsidR="00EF5CBC" w:rsidRPr="00F83D8F" w:rsidRDefault="00EF5CBC" w:rsidP="00EF5CBC">
            <w:pPr>
              <w:ind w:left="567" w:right="567"/>
              <w:rPr>
                <w:rFonts w:ascii="Tahoma" w:hAnsi="Tahoma" w:cs="Tahoma"/>
                <w:color w:val="0070C0"/>
                <w:sz w:val="20"/>
                <w:szCs w:val="20"/>
              </w:rPr>
            </w:pPr>
            <w:r w:rsidRPr="00F83D8F">
              <w:rPr>
                <w:rFonts w:ascii="Tahoma" w:hAnsi="Tahoma" w:cs="Tahoma"/>
                <w:color w:val="0070C0"/>
                <w:sz w:val="20"/>
                <w:szCs w:val="20"/>
              </w:rPr>
              <w:t>c) Que, en su caso, se acredita el reintegro de las cantidades no invertidas.</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C61E2B" w:rsidRPr="00EF5CBC" w:rsidRDefault="00C61E2B"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pStyle w:val="Prrafodelista"/>
        <w:widowControl w:val="0"/>
        <w:numPr>
          <w:ilvl w:val="1"/>
          <w:numId w:val="5"/>
        </w:numPr>
        <w:tabs>
          <w:tab w:val="left" w:pos="851"/>
          <w:tab w:val="left" w:pos="993"/>
        </w:tabs>
        <w:spacing w:after="0" w:line="100" w:lineRule="atLeast"/>
        <w:ind w:left="567" w:right="567" w:firstLine="0"/>
        <w:jc w:val="both"/>
        <w:rPr>
          <w:rFonts w:ascii="Tahoma" w:eastAsia="Times New Roman" w:hAnsi="Tahoma" w:cs="Tahoma"/>
          <w:b/>
          <w:bCs/>
          <w:sz w:val="20"/>
          <w:szCs w:val="20"/>
        </w:rPr>
      </w:pPr>
      <w:r w:rsidRPr="00EF5CBC">
        <w:rPr>
          <w:rFonts w:ascii="Tahoma" w:eastAsia="Times New Roman" w:hAnsi="Tahoma" w:cs="Tahoma"/>
          <w:b/>
          <w:bCs/>
          <w:sz w:val="20"/>
          <w:szCs w:val="20"/>
        </w:rPr>
        <w:lastRenderedPageBreak/>
        <w:t xml:space="preserve"> Tramitación de emergencia.</w:t>
      </w: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tbl>
      <w:tblPr>
        <w:tblW w:w="9784" w:type="dxa"/>
        <w:tblInd w:w="637" w:type="dxa"/>
        <w:tblCellMar>
          <w:left w:w="70" w:type="dxa"/>
          <w:right w:w="70" w:type="dxa"/>
        </w:tblCellMar>
        <w:tblLook w:val="04A0"/>
      </w:tblPr>
      <w:tblGrid>
        <w:gridCol w:w="2697"/>
        <w:gridCol w:w="7087"/>
      </w:tblGrid>
      <w:tr w:rsidR="00EF5CBC" w:rsidRPr="00EF5CBC" w:rsidTr="00C61E2B">
        <w:trPr>
          <w:trHeight w:val="315"/>
        </w:trPr>
        <w:tc>
          <w:tcPr>
            <w:tcW w:w="2697" w:type="dxa"/>
            <w:tcBorders>
              <w:top w:val="single" w:sz="8" w:space="0" w:color="auto"/>
              <w:left w:val="single" w:sz="8" w:space="0" w:color="auto"/>
              <w:bottom w:val="nil"/>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OTROS</w:t>
            </w:r>
          </w:p>
        </w:tc>
        <w:tc>
          <w:tcPr>
            <w:tcW w:w="7087" w:type="dxa"/>
            <w:tcBorders>
              <w:top w:val="single" w:sz="8" w:space="0" w:color="auto"/>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AMRB: Extremos adicionales a incorporar al expediente.</w:t>
            </w:r>
          </w:p>
        </w:tc>
      </w:tr>
      <w:tr w:rsidR="00EF5CBC" w:rsidRPr="00EF5CBC" w:rsidTr="00C61E2B">
        <w:trPr>
          <w:trHeight w:val="315"/>
        </w:trPr>
        <w:tc>
          <w:tcPr>
            <w:tcW w:w="2697" w:type="dxa"/>
            <w:tcBorders>
              <w:top w:val="nil"/>
              <w:left w:val="single" w:sz="8" w:space="0" w:color="auto"/>
              <w:bottom w:val="single" w:sz="8" w:space="0" w:color="auto"/>
              <w:right w:val="single" w:sz="4" w:space="0" w:color="auto"/>
            </w:tcBorders>
            <w:shd w:val="clear" w:color="auto" w:fill="auto"/>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c>
          <w:tcPr>
            <w:tcW w:w="7087" w:type="dxa"/>
            <w:tcBorders>
              <w:top w:val="nil"/>
              <w:left w:val="nil"/>
              <w:bottom w:val="single" w:sz="8" w:space="0" w:color="auto"/>
              <w:right w:val="single" w:sz="8" w:space="0" w:color="auto"/>
            </w:tcBorders>
            <w:shd w:val="clear" w:color="auto" w:fill="auto"/>
            <w:noWrap/>
            <w:vAlign w:val="bottom"/>
            <w:hideMark/>
          </w:tcPr>
          <w:p w:rsidR="00EF5CBC" w:rsidRPr="00EF5CBC" w:rsidRDefault="00EF5CBC" w:rsidP="00EF5CBC">
            <w:pPr>
              <w:ind w:left="567" w:right="567"/>
              <w:rPr>
                <w:rFonts w:ascii="Tahoma" w:hAnsi="Tahoma" w:cs="Tahoma"/>
                <w:b/>
                <w:bCs/>
                <w:color w:val="000000"/>
                <w:sz w:val="20"/>
                <w:szCs w:val="20"/>
              </w:rPr>
            </w:pPr>
            <w:r w:rsidRPr="00EF5CBC">
              <w:rPr>
                <w:rFonts w:ascii="Tahoma" w:hAnsi="Tahoma" w:cs="Tahoma"/>
                <w:b/>
                <w:bCs/>
                <w:color w:val="000000"/>
                <w:sz w:val="20"/>
                <w:szCs w:val="20"/>
              </w:rPr>
              <w:t> </w:t>
            </w:r>
          </w:p>
        </w:tc>
      </w:tr>
      <w:tr w:rsidR="00EF5CBC" w:rsidRPr="00EF5CBC" w:rsidTr="00C61E2B">
        <w:trPr>
          <w:trHeight w:val="600"/>
        </w:trPr>
        <w:tc>
          <w:tcPr>
            <w:tcW w:w="2697" w:type="dxa"/>
            <w:vMerge w:val="restart"/>
            <w:tcBorders>
              <w:top w:val="nil"/>
              <w:left w:val="single" w:sz="8" w:space="0" w:color="auto"/>
              <w:bottom w:val="single" w:sz="8" w:space="0" w:color="000000"/>
              <w:right w:val="nil"/>
            </w:tcBorders>
            <w:shd w:val="clear" w:color="auto" w:fill="auto"/>
            <w:hideMark/>
          </w:tcPr>
          <w:p w:rsidR="00EF5CBC" w:rsidRPr="00EF5CBC" w:rsidRDefault="00EF5CBC" w:rsidP="00EF5CBC">
            <w:pPr>
              <w:ind w:left="567" w:right="567"/>
              <w:rPr>
                <w:rFonts w:ascii="Tahoma" w:hAnsi="Tahoma" w:cs="Tahoma"/>
                <w:color w:val="000000"/>
                <w:sz w:val="20"/>
                <w:szCs w:val="20"/>
              </w:rPr>
            </w:pPr>
            <w:r w:rsidRPr="00EF5CBC">
              <w:rPr>
                <w:rFonts w:ascii="Tahoma" w:hAnsi="Tahoma" w:cs="Tahoma"/>
                <w:color w:val="000000"/>
                <w:sz w:val="20"/>
                <w:szCs w:val="20"/>
              </w:rPr>
              <w:t>Cuando se tramite un contrato mediante el procedimiento de tramitación de emergencia por causas de acontecimientos catastróficos o de situaciones que supongan grave peligro se comprobará los siguientes extremos:</w:t>
            </w: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984806" w:themeColor="accent6" w:themeShade="80"/>
                <w:sz w:val="20"/>
                <w:szCs w:val="20"/>
              </w:rPr>
            </w:pPr>
            <w:r w:rsidRPr="00EF5CBC">
              <w:rPr>
                <w:rFonts w:ascii="Tahoma" w:hAnsi="Tahoma" w:cs="Tahoma"/>
                <w:color w:val="984806" w:themeColor="accent6" w:themeShade="80"/>
                <w:sz w:val="20"/>
                <w:szCs w:val="20"/>
              </w:rPr>
              <w:t>a) Existe informe técnico y Decreto de Presidencia que califica de emergencia la actuación. En este informe se tendrá que justificar porque no se ha utilizado el procedimiento de urgencia y se tendrá que delimitar el alcance objetivo y temporal imprescindible de ese contrato para atender a la situación de necesidad de emergencia.</w:t>
            </w:r>
          </w:p>
        </w:tc>
      </w:tr>
      <w:tr w:rsidR="00EF5CBC" w:rsidRPr="00EF5CBC" w:rsidTr="00C61E2B">
        <w:trPr>
          <w:trHeight w:val="147"/>
        </w:trPr>
        <w:tc>
          <w:tcPr>
            <w:tcW w:w="2697"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984806" w:themeColor="accent6" w:themeShade="80"/>
                <w:sz w:val="20"/>
                <w:szCs w:val="20"/>
              </w:rPr>
            </w:pPr>
            <w:r w:rsidRPr="00EF5CBC">
              <w:rPr>
                <w:rFonts w:ascii="Tahoma" w:hAnsi="Tahoma" w:cs="Tahoma"/>
                <w:color w:val="984806" w:themeColor="accent6" w:themeShade="80"/>
                <w:sz w:val="20"/>
                <w:szCs w:val="20"/>
              </w:rPr>
              <w:t>b) Existe un informe jurídico que posibilita acudir a esta tramitación.</w:t>
            </w:r>
          </w:p>
        </w:tc>
      </w:tr>
      <w:tr w:rsidR="00EF5CBC" w:rsidRPr="00EF5CBC" w:rsidTr="00C61E2B">
        <w:trPr>
          <w:trHeight w:val="575"/>
        </w:trPr>
        <w:tc>
          <w:tcPr>
            <w:tcW w:w="2697"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984806" w:themeColor="accent6" w:themeShade="80"/>
                <w:sz w:val="20"/>
                <w:szCs w:val="20"/>
              </w:rPr>
            </w:pPr>
            <w:r w:rsidRPr="00EF5CBC">
              <w:rPr>
                <w:rFonts w:ascii="Tahoma" w:hAnsi="Tahoma" w:cs="Tahoma"/>
                <w:color w:val="984806" w:themeColor="accent6" w:themeShade="80"/>
                <w:sz w:val="20"/>
                <w:szCs w:val="20"/>
              </w:rPr>
              <w:t>c) Se ordena por el órgano de contratación competente la ejecución de las actuaciones necesarias para remediar el acontecimiento producido o satisfacer las necesidades sobrevenidas o contratar libremente su objeto.</w:t>
            </w:r>
          </w:p>
        </w:tc>
      </w:tr>
      <w:tr w:rsidR="00EF5CBC" w:rsidRPr="00EF5CBC" w:rsidTr="00C61E2B">
        <w:trPr>
          <w:trHeight w:val="871"/>
        </w:trPr>
        <w:tc>
          <w:tcPr>
            <w:tcW w:w="2697"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nil"/>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984806" w:themeColor="accent6" w:themeShade="80"/>
                <w:sz w:val="20"/>
                <w:szCs w:val="20"/>
              </w:rPr>
            </w:pPr>
            <w:r w:rsidRPr="00EF5CBC">
              <w:rPr>
                <w:rFonts w:ascii="Tahoma" w:hAnsi="Tahoma" w:cs="Tahoma"/>
                <w:color w:val="984806" w:themeColor="accent6" w:themeShade="80"/>
                <w:sz w:val="20"/>
                <w:szCs w:val="20"/>
              </w:rPr>
              <w:t>d) Se trata de un gasto para el que existe consignación presupuestaria adecuada e suficiente en el Estado de Gastos del Presupuesto municipal o documentación justificativa de que se está tramitando el oportuno expediente de modificación de crédito.</w:t>
            </w:r>
          </w:p>
        </w:tc>
      </w:tr>
      <w:tr w:rsidR="00EF5CBC" w:rsidRPr="00EF5CBC" w:rsidTr="00C61E2B">
        <w:trPr>
          <w:trHeight w:val="362"/>
        </w:trPr>
        <w:tc>
          <w:tcPr>
            <w:tcW w:w="2697" w:type="dxa"/>
            <w:vMerge/>
            <w:tcBorders>
              <w:top w:val="nil"/>
              <w:left w:val="single" w:sz="8" w:space="0" w:color="auto"/>
              <w:bottom w:val="single" w:sz="8" w:space="0" w:color="000000"/>
              <w:right w:val="nil"/>
            </w:tcBorders>
            <w:vAlign w:val="center"/>
            <w:hideMark/>
          </w:tcPr>
          <w:p w:rsidR="00EF5CBC" w:rsidRPr="00EF5CBC" w:rsidRDefault="00EF5CBC" w:rsidP="00EF5CBC">
            <w:pPr>
              <w:ind w:left="567" w:right="567"/>
              <w:rPr>
                <w:rFonts w:ascii="Tahoma" w:hAnsi="Tahoma" w:cs="Tahoma"/>
                <w:color w:val="000000"/>
                <w:sz w:val="20"/>
                <w:szCs w:val="20"/>
              </w:rPr>
            </w:pPr>
          </w:p>
        </w:tc>
        <w:tc>
          <w:tcPr>
            <w:tcW w:w="7087" w:type="dxa"/>
            <w:tcBorders>
              <w:top w:val="nil"/>
              <w:left w:val="nil"/>
              <w:bottom w:val="single" w:sz="8" w:space="0" w:color="auto"/>
              <w:right w:val="single" w:sz="8" w:space="0" w:color="auto"/>
            </w:tcBorders>
            <w:shd w:val="clear" w:color="auto" w:fill="auto"/>
            <w:vAlign w:val="bottom"/>
            <w:hideMark/>
          </w:tcPr>
          <w:p w:rsidR="00EF5CBC" w:rsidRPr="00EF5CBC" w:rsidRDefault="00EF5CBC" w:rsidP="00EF5CBC">
            <w:pPr>
              <w:ind w:left="567" w:right="567"/>
              <w:jc w:val="both"/>
              <w:rPr>
                <w:rFonts w:ascii="Tahoma" w:hAnsi="Tahoma" w:cs="Tahoma"/>
                <w:color w:val="984806" w:themeColor="accent6" w:themeShade="80"/>
                <w:sz w:val="20"/>
                <w:szCs w:val="20"/>
              </w:rPr>
            </w:pPr>
            <w:r w:rsidRPr="00EF5CBC">
              <w:rPr>
                <w:rFonts w:ascii="Tahoma" w:hAnsi="Tahoma" w:cs="Tahoma"/>
                <w:color w:val="984806" w:themeColor="accent6" w:themeShade="80"/>
                <w:sz w:val="20"/>
                <w:szCs w:val="20"/>
              </w:rPr>
              <w:t>e) Se dio cuenta de la tramitación de emergencia del citado contrato al Pleno da Corporación.</w:t>
            </w:r>
          </w:p>
        </w:tc>
      </w:tr>
    </w:tbl>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EF5CBC" w:rsidRPr="00EF5CBC" w:rsidRDefault="00EF5CBC" w:rsidP="00EF5CBC">
      <w:pPr>
        <w:widowControl w:val="0"/>
        <w:tabs>
          <w:tab w:val="left" w:pos="851"/>
          <w:tab w:val="left" w:pos="993"/>
        </w:tabs>
        <w:spacing w:line="100" w:lineRule="atLeast"/>
        <w:ind w:left="567" w:right="567"/>
        <w:jc w:val="both"/>
        <w:rPr>
          <w:rFonts w:ascii="Tahoma" w:hAnsi="Tahoma" w:cs="Tahoma"/>
          <w:b/>
          <w:bCs/>
          <w:sz w:val="20"/>
          <w:szCs w:val="20"/>
        </w:rPr>
      </w:pPr>
    </w:p>
    <w:p w:rsidR="001D6992" w:rsidRPr="00EF5CBC" w:rsidRDefault="001D6992" w:rsidP="00EF5CBC">
      <w:pPr>
        <w:ind w:left="567" w:right="567"/>
        <w:rPr>
          <w:rFonts w:ascii="Tahoma" w:hAnsi="Tahoma" w:cs="Tahoma"/>
          <w:sz w:val="20"/>
          <w:szCs w:val="20"/>
        </w:rPr>
      </w:pPr>
    </w:p>
    <w:sectPr w:rsidR="001D6992" w:rsidRPr="00EF5CBC" w:rsidSect="00EF5CBC">
      <w:headerReference w:type="default" r:id="rId8"/>
      <w:footerReference w:type="default" r:id="rId9"/>
      <w:pgSz w:w="11906" w:h="16838"/>
      <w:pgMar w:top="2836" w:right="707" w:bottom="1134" w:left="709" w:header="425" w:footer="139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E2B" w:rsidRDefault="00C61E2B">
      <w:r>
        <w:separator/>
      </w:r>
    </w:p>
  </w:endnote>
  <w:endnote w:type="continuationSeparator" w:id="0">
    <w:p w:rsidR="00C61E2B" w:rsidRDefault="00C61E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2B" w:rsidRPr="00813349" w:rsidRDefault="0017296D">
    <w:pPr>
      <w:pStyle w:val="Piedepgina"/>
      <w:jc w:val="right"/>
      <w:rPr>
        <w:sz w:val="22"/>
        <w:szCs w:val="22"/>
      </w:rPr>
    </w:pPr>
    <w:r w:rsidRPr="00813349">
      <w:rPr>
        <w:sz w:val="22"/>
        <w:szCs w:val="22"/>
      </w:rPr>
      <w:fldChar w:fldCharType="begin"/>
    </w:r>
    <w:r w:rsidR="00C61E2B" w:rsidRPr="00813349">
      <w:rPr>
        <w:sz w:val="22"/>
        <w:szCs w:val="22"/>
      </w:rPr>
      <w:instrText xml:space="preserve"> PAGE   \* MERGEFORMAT </w:instrText>
    </w:r>
    <w:r w:rsidRPr="00813349">
      <w:rPr>
        <w:sz w:val="22"/>
        <w:szCs w:val="22"/>
      </w:rPr>
      <w:fldChar w:fldCharType="separate"/>
    </w:r>
    <w:r w:rsidR="00657E82">
      <w:rPr>
        <w:noProof/>
        <w:sz w:val="22"/>
        <w:szCs w:val="22"/>
      </w:rPr>
      <w:t>64</w:t>
    </w:r>
    <w:r w:rsidRPr="00813349">
      <w:rPr>
        <w:sz w:val="22"/>
        <w:szCs w:val="22"/>
      </w:rPr>
      <w:fldChar w:fldCharType="end"/>
    </w:r>
  </w:p>
  <w:p w:rsidR="00C61E2B" w:rsidRDefault="00C61E2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E2B" w:rsidRDefault="00C61E2B">
      <w:r>
        <w:separator/>
      </w:r>
    </w:p>
  </w:footnote>
  <w:footnote w:type="continuationSeparator" w:id="0">
    <w:p w:rsidR="00C61E2B" w:rsidRDefault="00C61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2B" w:rsidRDefault="00C61E2B">
    <w:pPr>
      <w:pStyle w:val="Encabezado"/>
      <w:tabs>
        <w:tab w:val="clear" w:pos="4252"/>
        <w:tab w:val="clear" w:pos="8504"/>
      </w:tabs>
      <w:ind w:left="-170" w:right="6237"/>
      <w:jc w:val="right"/>
      <w:rPr>
        <w:rFonts w:ascii="Garamond" w:hAnsi="Garamond"/>
        <w:b/>
        <w:bCs/>
        <w:lang w:val="es-ES_tradnl"/>
      </w:rPr>
    </w:pPr>
    <w:r>
      <w:rPr>
        <w:noProof/>
        <w:sz w:val="18"/>
      </w:rPr>
      <w:drawing>
        <wp:anchor distT="0" distB="0" distL="114300" distR="114300" simplePos="0" relativeHeight="251659776" behindDoc="1" locked="0" layoutInCell="1" allowOverlap="1">
          <wp:simplePos x="0" y="0"/>
          <wp:positionH relativeFrom="column">
            <wp:posOffset>278130</wp:posOffset>
          </wp:positionH>
          <wp:positionV relativeFrom="paragraph">
            <wp:posOffset>-90170</wp:posOffset>
          </wp:positionV>
          <wp:extent cx="1781810" cy="770255"/>
          <wp:effectExtent l="19050" t="0" r="889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1781810" cy="770255"/>
                  </a:xfrm>
                  <a:prstGeom prst="rect">
                    <a:avLst/>
                  </a:prstGeom>
                  <a:noFill/>
                  <a:ln w="9525">
                    <a:noFill/>
                    <a:miter lim="800000"/>
                    <a:headEnd/>
                    <a:tailEnd/>
                  </a:ln>
                </pic:spPr>
              </pic:pic>
            </a:graphicData>
          </a:graphic>
        </wp:anchor>
      </w:drawing>
    </w:r>
  </w:p>
  <w:p w:rsidR="00C61E2B" w:rsidRDefault="00C61E2B">
    <w:pPr>
      <w:pStyle w:val="Ttulo2"/>
      <w:ind w:left="-170" w:right="6237"/>
      <w:jc w:val="right"/>
      <w:rPr>
        <w:sz w:val="20"/>
      </w:rPr>
    </w:pPr>
  </w:p>
  <w:p w:rsidR="00C61E2B" w:rsidRDefault="00C61E2B" w:rsidP="003110C9">
    <w:pPr>
      <w:pStyle w:val="Ttulo2"/>
      <w:ind w:left="-170" w:right="6237"/>
      <w:jc w:val="left"/>
      <w:rPr>
        <w:sz w:val="18"/>
      </w:rPr>
    </w:pPr>
    <w:r>
      <w:rPr>
        <w:sz w:val="18"/>
      </w:rPr>
      <w:tab/>
    </w:r>
  </w:p>
  <w:p w:rsidR="00C61E2B" w:rsidRDefault="00C61E2B">
    <w:pPr>
      <w:pStyle w:val="Ttulo2"/>
      <w:ind w:left="-170" w:right="6237"/>
      <w:jc w:val="right"/>
      <w:rPr>
        <w:sz w:val="18"/>
      </w:rPr>
    </w:pPr>
  </w:p>
  <w:p w:rsidR="00C61E2B" w:rsidRDefault="00C61E2B">
    <w:pPr>
      <w:pStyle w:val="Ttulo2"/>
      <w:ind w:left="-170" w:right="6237"/>
      <w:jc w:val="right"/>
      <w:rPr>
        <w:sz w:val="18"/>
      </w:rPr>
    </w:pPr>
  </w:p>
  <w:p w:rsidR="00C61E2B" w:rsidRDefault="00C61E2B">
    <w:pPr>
      <w:pStyle w:val="Ttulo3"/>
      <w:ind w:left="-170" w:right="6237"/>
    </w:pPr>
    <w:r>
      <w:rPr>
        <w:sz w:val="24"/>
      </w:rPr>
      <w:t xml:space="preserve">   D</w:t>
    </w:r>
    <w:r>
      <w:t xml:space="preserve">IPUTACIÓN </w:t>
    </w:r>
    <w:r>
      <w:rPr>
        <w:sz w:val="24"/>
      </w:rPr>
      <w:t>P</w:t>
    </w:r>
    <w:r>
      <w:t>ROVINCIAL</w:t>
    </w:r>
  </w:p>
  <w:p w:rsidR="00C61E2B" w:rsidRDefault="0017296D">
    <w:pPr>
      <w:pStyle w:val="Encabezado"/>
      <w:tabs>
        <w:tab w:val="clear" w:pos="4252"/>
        <w:tab w:val="clear" w:pos="8504"/>
      </w:tabs>
      <w:ind w:left="-170" w:right="6237"/>
      <w:jc w:val="center"/>
      <w:rPr>
        <w:rFonts w:ascii="Garamond" w:hAnsi="Garamond"/>
        <w:b/>
        <w:bCs/>
        <w:sz w:val="18"/>
        <w:lang w:val="es-ES_tradnl"/>
      </w:rPr>
    </w:pPr>
    <w:r>
      <w:rPr>
        <w:rFonts w:ascii="Garamond" w:hAnsi="Garamond"/>
        <w:b/>
        <w:bCs/>
        <w:noProof/>
        <w:sz w:val="18"/>
      </w:rPr>
      <w:pict>
        <v:line id="Line 4" o:spid="_x0000_s4100" style="position:absolute;left:0;text-align:left;z-index:251657728;visibility:visible;mso-wrap-distance-top:-3e-5mm;mso-wrap-distance-bottom:-3e-5mm" from="73.1pt,3.5pt" to="127.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Jm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" strokeweight="1.5pt">
          <w10:wrap type="topAndBottom"/>
        </v:line>
      </w:pict>
    </w:r>
    <w:r>
      <w:rPr>
        <w:rFonts w:ascii="Garamond" w:hAnsi="Garamond"/>
        <w:b/>
        <w:bCs/>
        <w:noProof/>
        <w:sz w:val="18"/>
      </w:rPr>
      <w:pict>
        <v:line id="Line 3" o:spid="_x0000_s4099" style="position:absolute;left:0;text-align:left;z-index:251656704;visibility:visible;mso-wrap-distance-top:-3e-5mm;mso-wrap-distance-bottom:-3e-5mm" from="80.75pt,6.55pt" to="122.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" stroked="f">
          <w10:wrap type="topAndBottom"/>
        </v:line>
      </w:pict>
    </w:r>
    <w:r>
      <w:rPr>
        <w:rFonts w:ascii="Garamond" w:hAnsi="Garamond"/>
        <w:b/>
        <w:bCs/>
        <w:noProof/>
        <w:sz w:val="18"/>
      </w:rPr>
      <w:pict>
        <v:line id="Line 2" o:spid="_x0000_s4098" style="position:absolute;left:0;text-align:left;z-index:251655680;visibility:visible;mso-wrap-distance-top:-3e-5mm;mso-wrap-distance-bottom:-3e-5mm" from="80.75pt,6.55pt" to="122.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" stroked="f">
          <w10:wrap type="topAndBottom"/>
        </v:line>
      </w:pict>
    </w:r>
  </w:p>
  <w:p w:rsidR="00C61E2B" w:rsidRDefault="00C61E2B">
    <w:pPr>
      <w:pStyle w:val="Encabezado"/>
      <w:tabs>
        <w:tab w:val="clear" w:pos="4252"/>
        <w:tab w:val="clear" w:pos="8504"/>
      </w:tabs>
      <w:ind w:left="-170" w:right="6237"/>
      <w:jc w:val="center"/>
      <w:rPr>
        <w:rFonts w:ascii="Garamond" w:hAnsi="Garamond"/>
        <w:b/>
        <w:bCs/>
        <w:sz w:val="16"/>
        <w:lang w:val="es-ES_tradnl"/>
      </w:rPr>
    </w:pPr>
    <w:r>
      <w:rPr>
        <w:rFonts w:ascii="Garamond" w:hAnsi="Garamond"/>
        <w:b/>
        <w:bCs/>
        <w:sz w:val="20"/>
        <w:lang w:val="es-ES_tradnl"/>
      </w:rPr>
      <w:t xml:space="preserve">   A</w:t>
    </w:r>
    <w:r>
      <w:rPr>
        <w:rFonts w:ascii="Garamond" w:hAnsi="Garamond"/>
        <w:b/>
        <w:bCs/>
        <w:sz w:val="16"/>
        <w:lang w:val="es-ES_tradnl"/>
      </w:rPr>
      <w:t xml:space="preserve">SISTENCIA A </w:t>
    </w:r>
    <w:r>
      <w:rPr>
        <w:rFonts w:ascii="Garamond" w:hAnsi="Garamond"/>
        <w:b/>
        <w:bCs/>
        <w:sz w:val="20"/>
        <w:lang w:val="es-ES_tradnl"/>
      </w:rPr>
      <w:t>M</w:t>
    </w:r>
    <w:r>
      <w:rPr>
        <w:rFonts w:ascii="Garamond" w:hAnsi="Garamond"/>
        <w:b/>
        <w:bCs/>
        <w:sz w:val="16"/>
        <w:lang w:val="es-ES_tradnl"/>
      </w:rPr>
      <w:t>UNICIPIOS</w:t>
    </w:r>
  </w:p>
  <w:p w:rsidR="00C61E2B" w:rsidRDefault="0017296D">
    <w:pPr>
      <w:pStyle w:val="Encabezado"/>
      <w:tabs>
        <w:tab w:val="clear" w:pos="4252"/>
        <w:tab w:val="clear" w:pos="8504"/>
      </w:tabs>
      <w:ind w:left="-170" w:right="6237"/>
      <w:jc w:val="center"/>
      <w:rPr>
        <w:sz w:val="14"/>
      </w:rPr>
    </w:pPr>
    <w:r w:rsidRPr="0017296D">
      <w:rPr>
        <w:noProof/>
        <w:sz w:val="20"/>
      </w:rPr>
      <w:pict>
        <v:line id="Line 5" o:spid="_x0000_s4097" style="position:absolute;left:0;text-align:left;z-index:251658752;visibility:visible;mso-wrap-distance-top:-3e-5mm;mso-wrap-distance-bottom:-3e-5mm" from="64.65pt,3.5pt" to="134.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3WoEQIAACg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" strokeweight="1.5pt">
          <w10:wrap type="topAndBottom"/>
        </v:line>
      </w:pict>
    </w:r>
  </w:p>
  <w:p w:rsidR="00C61E2B" w:rsidRDefault="00C61E2B">
    <w:pPr>
      <w:pStyle w:val="Encabezado"/>
      <w:tabs>
        <w:tab w:val="clear" w:pos="4252"/>
        <w:tab w:val="clear" w:pos="8504"/>
      </w:tabs>
      <w:ind w:left="-170" w:right="6237"/>
      <w:jc w:val="center"/>
      <w:rPr>
        <w:sz w:val="14"/>
      </w:rPr>
    </w:pPr>
    <w:r>
      <w:rPr>
        <w:sz w:val="14"/>
      </w:rPr>
      <w:t xml:space="preserve">    Núm. R. E. L. 0245000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0E9E"/>
    <w:multiLevelType w:val="hybridMultilevel"/>
    <w:tmpl w:val="A6101E38"/>
    <w:lvl w:ilvl="0" w:tplc="D090E422">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168221E"/>
    <w:multiLevelType w:val="hybridMultilevel"/>
    <w:tmpl w:val="0838C4DE"/>
    <w:lvl w:ilvl="0" w:tplc="ECE00BD8">
      <w:start w:val="1"/>
      <w:numFmt w:val="decimal"/>
      <w:lvlText w:val="%1."/>
      <w:lvlJc w:val="left"/>
      <w:pPr>
        <w:ind w:left="915" w:hanging="55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470F21"/>
    <w:multiLevelType w:val="hybridMultilevel"/>
    <w:tmpl w:val="FE8625B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1A4681E"/>
    <w:multiLevelType w:val="hybridMultilevel"/>
    <w:tmpl w:val="3D7E7B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9CF4FD8"/>
    <w:multiLevelType w:val="hybridMultilevel"/>
    <w:tmpl w:val="50DA36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F1D5C85"/>
    <w:multiLevelType w:val="hybridMultilevel"/>
    <w:tmpl w:val="5540ED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F69417F"/>
    <w:multiLevelType w:val="hybridMultilevel"/>
    <w:tmpl w:val="6FF2326A"/>
    <w:lvl w:ilvl="0" w:tplc="6DDC03DC">
      <w:start w:val="1"/>
      <w:numFmt w:val="decimal"/>
      <w:lvlText w:val="%1."/>
      <w:lvlJc w:val="left"/>
      <w:pPr>
        <w:ind w:left="1040" w:hanging="360"/>
      </w:pPr>
      <w:rPr>
        <w:rFonts w:hint="default"/>
      </w:rPr>
    </w:lvl>
    <w:lvl w:ilvl="1" w:tplc="0C0A0019" w:tentative="1">
      <w:start w:val="1"/>
      <w:numFmt w:val="lowerLetter"/>
      <w:lvlText w:val="%2."/>
      <w:lvlJc w:val="left"/>
      <w:pPr>
        <w:ind w:left="1760" w:hanging="360"/>
      </w:pPr>
    </w:lvl>
    <w:lvl w:ilvl="2" w:tplc="0C0A001B" w:tentative="1">
      <w:start w:val="1"/>
      <w:numFmt w:val="lowerRoman"/>
      <w:lvlText w:val="%3."/>
      <w:lvlJc w:val="right"/>
      <w:pPr>
        <w:ind w:left="2480" w:hanging="180"/>
      </w:pPr>
    </w:lvl>
    <w:lvl w:ilvl="3" w:tplc="0C0A000F" w:tentative="1">
      <w:start w:val="1"/>
      <w:numFmt w:val="decimal"/>
      <w:lvlText w:val="%4."/>
      <w:lvlJc w:val="left"/>
      <w:pPr>
        <w:ind w:left="3200" w:hanging="360"/>
      </w:pPr>
    </w:lvl>
    <w:lvl w:ilvl="4" w:tplc="0C0A0019" w:tentative="1">
      <w:start w:val="1"/>
      <w:numFmt w:val="lowerLetter"/>
      <w:lvlText w:val="%5."/>
      <w:lvlJc w:val="left"/>
      <w:pPr>
        <w:ind w:left="3920" w:hanging="360"/>
      </w:pPr>
    </w:lvl>
    <w:lvl w:ilvl="5" w:tplc="0C0A001B" w:tentative="1">
      <w:start w:val="1"/>
      <w:numFmt w:val="lowerRoman"/>
      <w:lvlText w:val="%6."/>
      <w:lvlJc w:val="right"/>
      <w:pPr>
        <w:ind w:left="4640" w:hanging="180"/>
      </w:pPr>
    </w:lvl>
    <w:lvl w:ilvl="6" w:tplc="0C0A000F" w:tentative="1">
      <w:start w:val="1"/>
      <w:numFmt w:val="decimal"/>
      <w:lvlText w:val="%7."/>
      <w:lvlJc w:val="left"/>
      <w:pPr>
        <w:ind w:left="5360" w:hanging="360"/>
      </w:pPr>
    </w:lvl>
    <w:lvl w:ilvl="7" w:tplc="0C0A0019" w:tentative="1">
      <w:start w:val="1"/>
      <w:numFmt w:val="lowerLetter"/>
      <w:lvlText w:val="%8."/>
      <w:lvlJc w:val="left"/>
      <w:pPr>
        <w:ind w:left="6080" w:hanging="360"/>
      </w:pPr>
    </w:lvl>
    <w:lvl w:ilvl="8" w:tplc="0C0A001B" w:tentative="1">
      <w:start w:val="1"/>
      <w:numFmt w:val="lowerRoman"/>
      <w:lvlText w:val="%9."/>
      <w:lvlJc w:val="right"/>
      <w:pPr>
        <w:ind w:left="6800" w:hanging="180"/>
      </w:pPr>
    </w:lvl>
  </w:abstractNum>
  <w:abstractNum w:abstractNumId="7">
    <w:nsid w:val="22DB5A2A"/>
    <w:multiLevelType w:val="hybridMultilevel"/>
    <w:tmpl w:val="4B48A1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4626F63"/>
    <w:multiLevelType w:val="hybridMultilevel"/>
    <w:tmpl w:val="25C8EC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75D4275"/>
    <w:multiLevelType w:val="hybridMultilevel"/>
    <w:tmpl w:val="8C04F4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8877500"/>
    <w:multiLevelType w:val="hybridMultilevel"/>
    <w:tmpl w:val="F5ECF1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1083A73"/>
    <w:multiLevelType w:val="hybridMultilevel"/>
    <w:tmpl w:val="26F6F250"/>
    <w:lvl w:ilvl="0" w:tplc="0C0A0017">
      <w:start w:val="1"/>
      <w:numFmt w:val="lowerLetter"/>
      <w:lvlText w:val="%1)"/>
      <w:lvlJc w:val="left"/>
      <w:pPr>
        <w:ind w:left="1003" w:hanging="360"/>
      </w:pPr>
      <w:rPr>
        <w:rFonts w:hint="default"/>
      </w:rPr>
    </w:lvl>
    <w:lvl w:ilvl="1" w:tplc="0C0A0003" w:tentative="1">
      <w:start w:val="1"/>
      <w:numFmt w:val="bullet"/>
      <w:lvlText w:val="o"/>
      <w:lvlJc w:val="left"/>
      <w:pPr>
        <w:ind w:left="1723" w:hanging="360"/>
      </w:pPr>
      <w:rPr>
        <w:rFonts w:ascii="Courier New" w:hAnsi="Courier New" w:cs="Courier New" w:hint="default"/>
      </w:rPr>
    </w:lvl>
    <w:lvl w:ilvl="2" w:tplc="0C0A0005" w:tentative="1">
      <w:start w:val="1"/>
      <w:numFmt w:val="bullet"/>
      <w:lvlText w:val=""/>
      <w:lvlJc w:val="left"/>
      <w:pPr>
        <w:ind w:left="2443" w:hanging="360"/>
      </w:pPr>
      <w:rPr>
        <w:rFonts w:ascii="Wingdings" w:hAnsi="Wingdings" w:hint="default"/>
      </w:rPr>
    </w:lvl>
    <w:lvl w:ilvl="3" w:tplc="0C0A0001" w:tentative="1">
      <w:start w:val="1"/>
      <w:numFmt w:val="bullet"/>
      <w:lvlText w:val=""/>
      <w:lvlJc w:val="left"/>
      <w:pPr>
        <w:ind w:left="3163" w:hanging="360"/>
      </w:pPr>
      <w:rPr>
        <w:rFonts w:ascii="Symbol" w:hAnsi="Symbol" w:hint="default"/>
      </w:rPr>
    </w:lvl>
    <w:lvl w:ilvl="4" w:tplc="0C0A0003" w:tentative="1">
      <w:start w:val="1"/>
      <w:numFmt w:val="bullet"/>
      <w:lvlText w:val="o"/>
      <w:lvlJc w:val="left"/>
      <w:pPr>
        <w:ind w:left="3883" w:hanging="360"/>
      </w:pPr>
      <w:rPr>
        <w:rFonts w:ascii="Courier New" w:hAnsi="Courier New" w:cs="Courier New" w:hint="default"/>
      </w:rPr>
    </w:lvl>
    <w:lvl w:ilvl="5" w:tplc="0C0A0005" w:tentative="1">
      <w:start w:val="1"/>
      <w:numFmt w:val="bullet"/>
      <w:lvlText w:val=""/>
      <w:lvlJc w:val="left"/>
      <w:pPr>
        <w:ind w:left="4603" w:hanging="360"/>
      </w:pPr>
      <w:rPr>
        <w:rFonts w:ascii="Wingdings" w:hAnsi="Wingdings" w:hint="default"/>
      </w:rPr>
    </w:lvl>
    <w:lvl w:ilvl="6" w:tplc="0C0A0001" w:tentative="1">
      <w:start w:val="1"/>
      <w:numFmt w:val="bullet"/>
      <w:lvlText w:val=""/>
      <w:lvlJc w:val="left"/>
      <w:pPr>
        <w:ind w:left="5323" w:hanging="360"/>
      </w:pPr>
      <w:rPr>
        <w:rFonts w:ascii="Symbol" w:hAnsi="Symbol" w:hint="default"/>
      </w:rPr>
    </w:lvl>
    <w:lvl w:ilvl="7" w:tplc="0C0A0003" w:tentative="1">
      <w:start w:val="1"/>
      <w:numFmt w:val="bullet"/>
      <w:lvlText w:val="o"/>
      <w:lvlJc w:val="left"/>
      <w:pPr>
        <w:ind w:left="6043" w:hanging="360"/>
      </w:pPr>
      <w:rPr>
        <w:rFonts w:ascii="Courier New" w:hAnsi="Courier New" w:cs="Courier New" w:hint="default"/>
      </w:rPr>
    </w:lvl>
    <w:lvl w:ilvl="8" w:tplc="0C0A0005" w:tentative="1">
      <w:start w:val="1"/>
      <w:numFmt w:val="bullet"/>
      <w:lvlText w:val=""/>
      <w:lvlJc w:val="left"/>
      <w:pPr>
        <w:ind w:left="6763" w:hanging="360"/>
      </w:pPr>
      <w:rPr>
        <w:rFonts w:ascii="Wingdings" w:hAnsi="Wingdings" w:hint="default"/>
      </w:rPr>
    </w:lvl>
  </w:abstractNum>
  <w:abstractNum w:abstractNumId="12">
    <w:nsid w:val="34A01B72"/>
    <w:multiLevelType w:val="hybridMultilevel"/>
    <w:tmpl w:val="3CCCA7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8472EA8"/>
    <w:multiLevelType w:val="hybridMultilevel"/>
    <w:tmpl w:val="E45C3D42"/>
    <w:lvl w:ilvl="0" w:tplc="2AB254DC">
      <w:start w:val="1"/>
      <w:numFmt w:val="decimal"/>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4">
    <w:nsid w:val="3C4C006D"/>
    <w:multiLevelType w:val="hybridMultilevel"/>
    <w:tmpl w:val="BF56FB22"/>
    <w:lvl w:ilvl="0" w:tplc="3ABC94BE">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5">
    <w:nsid w:val="3CB413C7"/>
    <w:multiLevelType w:val="hybridMultilevel"/>
    <w:tmpl w:val="85C8DE2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E8A6E19"/>
    <w:multiLevelType w:val="hybridMultilevel"/>
    <w:tmpl w:val="3A10DAAC"/>
    <w:lvl w:ilvl="0" w:tplc="0C0A0017">
      <w:start w:val="1"/>
      <w:numFmt w:val="lowerLetter"/>
      <w:lvlText w:val="%1)"/>
      <w:lvlJc w:val="left"/>
      <w:pPr>
        <w:ind w:left="1003" w:hanging="360"/>
      </w:pPr>
    </w:lvl>
    <w:lvl w:ilvl="1" w:tplc="0C0A0019" w:tentative="1">
      <w:start w:val="1"/>
      <w:numFmt w:val="lowerLetter"/>
      <w:lvlText w:val="%2."/>
      <w:lvlJc w:val="left"/>
      <w:pPr>
        <w:ind w:left="1723" w:hanging="360"/>
      </w:p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17">
    <w:nsid w:val="45187F0E"/>
    <w:multiLevelType w:val="hybridMultilevel"/>
    <w:tmpl w:val="8CD094FC"/>
    <w:lvl w:ilvl="0" w:tplc="0C0A0017">
      <w:start w:val="1"/>
      <w:numFmt w:val="lowerLetter"/>
      <w:lvlText w:val="%1)"/>
      <w:lvlJc w:val="left"/>
      <w:pPr>
        <w:ind w:left="1003" w:hanging="360"/>
      </w:pPr>
    </w:lvl>
    <w:lvl w:ilvl="1" w:tplc="FA32EA14">
      <w:start w:val="1"/>
      <w:numFmt w:val="decimal"/>
      <w:lvlText w:val="%2."/>
      <w:lvlJc w:val="left"/>
      <w:pPr>
        <w:ind w:left="1723" w:hanging="360"/>
      </w:pPr>
      <w:rPr>
        <w:rFonts w:eastAsiaTheme="minorEastAsia" w:hint="default"/>
      </w:rPr>
    </w:lvl>
    <w:lvl w:ilvl="2" w:tplc="0C0A001B" w:tentative="1">
      <w:start w:val="1"/>
      <w:numFmt w:val="lowerRoman"/>
      <w:lvlText w:val="%3."/>
      <w:lvlJc w:val="right"/>
      <w:pPr>
        <w:ind w:left="2443" w:hanging="180"/>
      </w:pPr>
    </w:lvl>
    <w:lvl w:ilvl="3" w:tplc="0C0A000F" w:tentative="1">
      <w:start w:val="1"/>
      <w:numFmt w:val="decimal"/>
      <w:lvlText w:val="%4."/>
      <w:lvlJc w:val="left"/>
      <w:pPr>
        <w:ind w:left="3163" w:hanging="360"/>
      </w:pPr>
    </w:lvl>
    <w:lvl w:ilvl="4" w:tplc="0C0A0019" w:tentative="1">
      <w:start w:val="1"/>
      <w:numFmt w:val="lowerLetter"/>
      <w:lvlText w:val="%5."/>
      <w:lvlJc w:val="left"/>
      <w:pPr>
        <w:ind w:left="3883" w:hanging="360"/>
      </w:pPr>
    </w:lvl>
    <w:lvl w:ilvl="5" w:tplc="0C0A001B" w:tentative="1">
      <w:start w:val="1"/>
      <w:numFmt w:val="lowerRoman"/>
      <w:lvlText w:val="%6."/>
      <w:lvlJc w:val="right"/>
      <w:pPr>
        <w:ind w:left="4603" w:hanging="180"/>
      </w:pPr>
    </w:lvl>
    <w:lvl w:ilvl="6" w:tplc="0C0A000F" w:tentative="1">
      <w:start w:val="1"/>
      <w:numFmt w:val="decimal"/>
      <w:lvlText w:val="%7."/>
      <w:lvlJc w:val="left"/>
      <w:pPr>
        <w:ind w:left="5323" w:hanging="360"/>
      </w:pPr>
    </w:lvl>
    <w:lvl w:ilvl="7" w:tplc="0C0A0019" w:tentative="1">
      <w:start w:val="1"/>
      <w:numFmt w:val="lowerLetter"/>
      <w:lvlText w:val="%8."/>
      <w:lvlJc w:val="left"/>
      <w:pPr>
        <w:ind w:left="6043" w:hanging="360"/>
      </w:pPr>
    </w:lvl>
    <w:lvl w:ilvl="8" w:tplc="0C0A001B" w:tentative="1">
      <w:start w:val="1"/>
      <w:numFmt w:val="lowerRoman"/>
      <w:lvlText w:val="%9."/>
      <w:lvlJc w:val="right"/>
      <w:pPr>
        <w:ind w:left="6763" w:hanging="180"/>
      </w:pPr>
    </w:lvl>
  </w:abstractNum>
  <w:abstractNum w:abstractNumId="18">
    <w:nsid w:val="475E2B70"/>
    <w:multiLevelType w:val="hybridMultilevel"/>
    <w:tmpl w:val="BA5E34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7DA3E70"/>
    <w:multiLevelType w:val="hybridMultilevel"/>
    <w:tmpl w:val="BFCA5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00776D"/>
    <w:multiLevelType w:val="hybridMultilevel"/>
    <w:tmpl w:val="E8C8F07C"/>
    <w:lvl w:ilvl="0" w:tplc="8C9A6C22">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DC12FF2"/>
    <w:multiLevelType w:val="hybridMultilevel"/>
    <w:tmpl w:val="3B6C05D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4E113862"/>
    <w:multiLevelType w:val="hybridMultilevel"/>
    <w:tmpl w:val="8C10A1F4"/>
    <w:lvl w:ilvl="0" w:tplc="0C0A000F">
      <w:start w:val="1"/>
      <w:numFmt w:val="decimal"/>
      <w:lvlText w:val="%1."/>
      <w:lvlJc w:val="left"/>
      <w:pPr>
        <w:ind w:left="2062"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E887C8C"/>
    <w:multiLevelType w:val="hybridMultilevel"/>
    <w:tmpl w:val="1C78B044"/>
    <w:lvl w:ilvl="0" w:tplc="E94475AE">
      <w:start w:val="1"/>
      <w:numFmt w:val="decimal"/>
      <w:lvlText w:val="%1."/>
      <w:lvlJc w:val="left"/>
      <w:pPr>
        <w:ind w:left="793" w:hanging="51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4">
    <w:nsid w:val="4FF8232A"/>
    <w:multiLevelType w:val="hybridMultilevel"/>
    <w:tmpl w:val="6778C70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0E0786B"/>
    <w:multiLevelType w:val="hybridMultilevel"/>
    <w:tmpl w:val="C00C114A"/>
    <w:lvl w:ilvl="0" w:tplc="0C0A0017">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6">
    <w:nsid w:val="54063E50"/>
    <w:multiLevelType w:val="hybridMultilevel"/>
    <w:tmpl w:val="8C04F4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5090261"/>
    <w:multiLevelType w:val="hybridMultilevel"/>
    <w:tmpl w:val="483489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67B7420"/>
    <w:multiLevelType w:val="hybridMultilevel"/>
    <w:tmpl w:val="61DCC9FA"/>
    <w:lvl w:ilvl="0" w:tplc="0F0A7030">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9">
    <w:nsid w:val="5F464E63"/>
    <w:multiLevelType w:val="hybridMultilevel"/>
    <w:tmpl w:val="0838C4DE"/>
    <w:lvl w:ilvl="0" w:tplc="ECE00BD8">
      <w:start w:val="1"/>
      <w:numFmt w:val="decimal"/>
      <w:lvlText w:val="%1."/>
      <w:lvlJc w:val="left"/>
      <w:pPr>
        <w:ind w:left="915" w:hanging="55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08644E6"/>
    <w:multiLevelType w:val="hybridMultilevel"/>
    <w:tmpl w:val="C25033F8"/>
    <w:lvl w:ilvl="0" w:tplc="469C435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66550E18"/>
    <w:multiLevelType w:val="hybridMultilevel"/>
    <w:tmpl w:val="BE9024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60E3964"/>
    <w:multiLevelType w:val="hybridMultilevel"/>
    <w:tmpl w:val="11C40B9C"/>
    <w:lvl w:ilvl="0" w:tplc="E48EDF82">
      <w:start w:val="1"/>
      <w:numFmt w:val="decimal"/>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33">
    <w:nsid w:val="78F05D48"/>
    <w:multiLevelType w:val="hybridMultilevel"/>
    <w:tmpl w:val="172C7C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DDA5D39"/>
    <w:multiLevelType w:val="hybridMultilevel"/>
    <w:tmpl w:val="132269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5"/>
  </w:num>
  <w:num w:numId="5">
    <w:abstractNumId w:val="17"/>
  </w:num>
  <w:num w:numId="6">
    <w:abstractNumId w:val="16"/>
  </w:num>
  <w:num w:numId="7">
    <w:abstractNumId w:val="10"/>
  </w:num>
  <w:num w:numId="8">
    <w:abstractNumId w:val="14"/>
  </w:num>
  <w:num w:numId="9">
    <w:abstractNumId w:val="28"/>
  </w:num>
  <w:num w:numId="10">
    <w:abstractNumId w:val="32"/>
  </w:num>
  <w:num w:numId="11">
    <w:abstractNumId w:val="23"/>
  </w:num>
  <w:num w:numId="12">
    <w:abstractNumId w:val="24"/>
  </w:num>
  <w:num w:numId="13">
    <w:abstractNumId w:val="8"/>
  </w:num>
  <w:num w:numId="14">
    <w:abstractNumId w:val="13"/>
  </w:num>
  <w:num w:numId="15">
    <w:abstractNumId w:val="31"/>
  </w:num>
  <w:num w:numId="16">
    <w:abstractNumId w:val="33"/>
  </w:num>
  <w:num w:numId="17">
    <w:abstractNumId w:val="1"/>
  </w:num>
  <w:num w:numId="18">
    <w:abstractNumId w:val="21"/>
  </w:num>
  <w:num w:numId="19">
    <w:abstractNumId w:val="20"/>
  </w:num>
  <w:num w:numId="20">
    <w:abstractNumId w:val="25"/>
  </w:num>
  <w:num w:numId="21">
    <w:abstractNumId w:val="7"/>
  </w:num>
  <w:num w:numId="22">
    <w:abstractNumId w:val="27"/>
  </w:num>
  <w:num w:numId="23">
    <w:abstractNumId w:val="3"/>
  </w:num>
  <w:num w:numId="24">
    <w:abstractNumId w:val="26"/>
  </w:num>
  <w:num w:numId="25">
    <w:abstractNumId w:val="9"/>
  </w:num>
  <w:num w:numId="26">
    <w:abstractNumId w:val="29"/>
  </w:num>
  <w:num w:numId="27">
    <w:abstractNumId w:val="18"/>
  </w:num>
  <w:num w:numId="28">
    <w:abstractNumId w:val="30"/>
  </w:num>
  <w:num w:numId="29">
    <w:abstractNumId w:val="19"/>
  </w:num>
  <w:num w:numId="30">
    <w:abstractNumId w:val="12"/>
  </w:num>
  <w:num w:numId="31">
    <w:abstractNumId w:val="4"/>
  </w:num>
  <w:num w:numId="32">
    <w:abstractNumId w:val="2"/>
  </w:num>
  <w:num w:numId="33">
    <w:abstractNumId w:val="22"/>
  </w:num>
  <w:num w:numId="34">
    <w:abstractNumId w:val="15"/>
  </w:num>
  <w:num w:numId="35">
    <w:abstractNumId w:val="3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rsids>
    <w:rsidRoot w:val="00251114"/>
    <w:rsid w:val="00000722"/>
    <w:rsid w:val="0000098A"/>
    <w:rsid w:val="00000C08"/>
    <w:rsid w:val="000014F8"/>
    <w:rsid w:val="000026B1"/>
    <w:rsid w:val="00002756"/>
    <w:rsid w:val="00004063"/>
    <w:rsid w:val="000065C9"/>
    <w:rsid w:val="000124F9"/>
    <w:rsid w:val="00013612"/>
    <w:rsid w:val="00013F67"/>
    <w:rsid w:val="000219EA"/>
    <w:rsid w:val="000226B1"/>
    <w:rsid w:val="000249F7"/>
    <w:rsid w:val="00025E94"/>
    <w:rsid w:val="000276FA"/>
    <w:rsid w:val="00027D4A"/>
    <w:rsid w:val="0003002C"/>
    <w:rsid w:val="00031D44"/>
    <w:rsid w:val="000329B8"/>
    <w:rsid w:val="00034013"/>
    <w:rsid w:val="00036059"/>
    <w:rsid w:val="0003679B"/>
    <w:rsid w:val="00037A21"/>
    <w:rsid w:val="00042DAD"/>
    <w:rsid w:val="00043FE6"/>
    <w:rsid w:val="000468B0"/>
    <w:rsid w:val="0005071E"/>
    <w:rsid w:val="000512C3"/>
    <w:rsid w:val="000572F3"/>
    <w:rsid w:val="000613B1"/>
    <w:rsid w:val="000660DF"/>
    <w:rsid w:val="000661FE"/>
    <w:rsid w:val="000670FD"/>
    <w:rsid w:val="0006735D"/>
    <w:rsid w:val="0006782A"/>
    <w:rsid w:val="000713FF"/>
    <w:rsid w:val="0007319A"/>
    <w:rsid w:val="00073BA4"/>
    <w:rsid w:val="000747FE"/>
    <w:rsid w:val="00074CBB"/>
    <w:rsid w:val="000779AD"/>
    <w:rsid w:val="0008064E"/>
    <w:rsid w:val="00082D94"/>
    <w:rsid w:val="00083CC8"/>
    <w:rsid w:val="00090711"/>
    <w:rsid w:val="00091323"/>
    <w:rsid w:val="00092E37"/>
    <w:rsid w:val="000930D9"/>
    <w:rsid w:val="0009461E"/>
    <w:rsid w:val="0009538F"/>
    <w:rsid w:val="000A091E"/>
    <w:rsid w:val="000A1FB7"/>
    <w:rsid w:val="000A2249"/>
    <w:rsid w:val="000A484A"/>
    <w:rsid w:val="000A5B2A"/>
    <w:rsid w:val="000A5E48"/>
    <w:rsid w:val="000A6569"/>
    <w:rsid w:val="000A6BC1"/>
    <w:rsid w:val="000A78A4"/>
    <w:rsid w:val="000B0B8C"/>
    <w:rsid w:val="000B17F4"/>
    <w:rsid w:val="000B3099"/>
    <w:rsid w:val="000B4BFF"/>
    <w:rsid w:val="000B5556"/>
    <w:rsid w:val="000B690C"/>
    <w:rsid w:val="000B755B"/>
    <w:rsid w:val="000C1CD1"/>
    <w:rsid w:val="000C260C"/>
    <w:rsid w:val="000C59CB"/>
    <w:rsid w:val="000C6103"/>
    <w:rsid w:val="000C679D"/>
    <w:rsid w:val="000D06BD"/>
    <w:rsid w:val="000D08FD"/>
    <w:rsid w:val="000D1D16"/>
    <w:rsid w:val="000D23CD"/>
    <w:rsid w:val="000D3871"/>
    <w:rsid w:val="000D43D9"/>
    <w:rsid w:val="000E137F"/>
    <w:rsid w:val="000E2087"/>
    <w:rsid w:val="000E7719"/>
    <w:rsid w:val="000E7886"/>
    <w:rsid w:val="000E7E53"/>
    <w:rsid w:val="000F04F3"/>
    <w:rsid w:val="000F0C62"/>
    <w:rsid w:val="000F0D31"/>
    <w:rsid w:val="000F0EBF"/>
    <w:rsid w:val="000F28E7"/>
    <w:rsid w:val="000F6B40"/>
    <w:rsid w:val="0010518A"/>
    <w:rsid w:val="001060BA"/>
    <w:rsid w:val="001070FE"/>
    <w:rsid w:val="0011158A"/>
    <w:rsid w:val="00112387"/>
    <w:rsid w:val="00114676"/>
    <w:rsid w:val="00114B8D"/>
    <w:rsid w:val="001176CE"/>
    <w:rsid w:val="00117BCE"/>
    <w:rsid w:val="00120A06"/>
    <w:rsid w:val="0012179C"/>
    <w:rsid w:val="00123435"/>
    <w:rsid w:val="00124ACE"/>
    <w:rsid w:val="00125499"/>
    <w:rsid w:val="00126447"/>
    <w:rsid w:val="001267A0"/>
    <w:rsid w:val="00131DDA"/>
    <w:rsid w:val="001335A4"/>
    <w:rsid w:val="00135259"/>
    <w:rsid w:val="00135EF2"/>
    <w:rsid w:val="001360F1"/>
    <w:rsid w:val="001368D8"/>
    <w:rsid w:val="001374DD"/>
    <w:rsid w:val="00137F5C"/>
    <w:rsid w:val="00140F66"/>
    <w:rsid w:val="00143E27"/>
    <w:rsid w:val="00145ACC"/>
    <w:rsid w:val="00145EE8"/>
    <w:rsid w:val="00146AE0"/>
    <w:rsid w:val="00147FFC"/>
    <w:rsid w:val="0015054D"/>
    <w:rsid w:val="00153F7D"/>
    <w:rsid w:val="00154833"/>
    <w:rsid w:val="00156730"/>
    <w:rsid w:val="0016022C"/>
    <w:rsid w:val="00161D1C"/>
    <w:rsid w:val="001620FA"/>
    <w:rsid w:val="001663BA"/>
    <w:rsid w:val="0017296D"/>
    <w:rsid w:val="00174724"/>
    <w:rsid w:val="001754F8"/>
    <w:rsid w:val="0017781C"/>
    <w:rsid w:val="001833EC"/>
    <w:rsid w:val="001846B4"/>
    <w:rsid w:val="0018722F"/>
    <w:rsid w:val="001878EA"/>
    <w:rsid w:val="00190F67"/>
    <w:rsid w:val="0019790C"/>
    <w:rsid w:val="001A19AB"/>
    <w:rsid w:val="001A3255"/>
    <w:rsid w:val="001A3FDB"/>
    <w:rsid w:val="001A492B"/>
    <w:rsid w:val="001A6B7A"/>
    <w:rsid w:val="001B391B"/>
    <w:rsid w:val="001B56B9"/>
    <w:rsid w:val="001B5B45"/>
    <w:rsid w:val="001B6C6A"/>
    <w:rsid w:val="001C188F"/>
    <w:rsid w:val="001C1FC2"/>
    <w:rsid w:val="001C2C50"/>
    <w:rsid w:val="001C384A"/>
    <w:rsid w:val="001C4564"/>
    <w:rsid w:val="001C47F2"/>
    <w:rsid w:val="001C5383"/>
    <w:rsid w:val="001C5591"/>
    <w:rsid w:val="001C75E6"/>
    <w:rsid w:val="001C7BB1"/>
    <w:rsid w:val="001D1346"/>
    <w:rsid w:val="001D5A1C"/>
    <w:rsid w:val="001D6992"/>
    <w:rsid w:val="001E151C"/>
    <w:rsid w:val="001E235E"/>
    <w:rsid w:val="001E248C"/>
    <w:rsid w:val="001E2ABA"/>
    <w:rsid w:val="001E36F6"/>
    <w:rsid w:val="001E3CBA"/>
    <w:rsid w:val="001E3E35"/>
    <w:rsid w:val="001E4E93"/>
    <w:rsid w:val="001E617E"/>
    <w:rsid w:val="001F568E"/>
    <w:rsid w:val="001F7697"/>
    <w:rsid w:val="002049F5"/>
    <w:rsid w:val="00207CD6"/>
    <w:rsid w:val="002129A4"/>
    <w:rsid w:val="00212C80"/>
    <w:rsid w:val="00223BF2"/>
    <w:rsid w:val="00223C64"/>
    <w:rsid w:val="0022416B"/>
    <w:rsid w:val="002263CB"/>
    <w:rsid w:val="00230211"/>
    <w:rsid w:val="00233FBB"/>
    <w:rsid w:val="0023555F"/>
    <w:rsid w:val="00241183"/>
    <w:rsid w:val="002422D6"/>
    <w:rsid w:val="002433FD"/>
    <w:rsid w:val="00244AAE"/>
    <w:rsid w:val="00246761"/>
    <w:rsid w:val="0025064B"/>
    <w:rsid w:val="0025092A"/>
    <w:rsid w:val="00251114"/>
    <w:rsid w:val="00251459"/>
    <w:rsid w:val="00255068"/>
    <w:rsid w:val="0025556A"/>
    <w:rsid w:val="00260911"/>
    <w:rsid w:val="00260DB2"/>
    <w:rsid w:val="002659E0"/>
    <w:rsid w:val="0027016B"/>
    <w:rsid w:val="00271795"/>
    <w:rsid w:val="00272BD3"/>
    <w:rsid w:val="00273958"/>
    <w:rsid w:val="00274643"/>
    <w:rsid w:val="00276D9A"/>
    <w:rsid w:val="002862C0"/>
    <w:rsid w:val="0028678B"/>
    <w:rsid w:val="002868B3"/>
    <w:rsid w:val="002905A3"/>
    <w:rsid w:val="00291FF0"/>
    <w:rsid w:val="00292B65"/>
    <w:rsid w:val="0029397B"/>
    <w:rsid w:val="002943BC"/>
    <w:rsid w:val="00296CDB"/>
    <w:rsid w:val="002A10E6"/>
    <w:rsid w:val="002A165C"/>
    <w:rsid w:val="002A1D66"/>
    <w:rsid w:val="002A224D"/>
    <w:rsid w:val="002A2A3F"/>
    <w:rsid w:val="002A2CAE"/>
    <w:rsid w:val="002A362A"/>
    <w:rsid w:val="002A5202"/>
    <w:rsid w:val="002A68BC"/>
    <w:rsid w:val="002B38C1"/>
    <w:rsid w:val="002B4738"/>
    <w:rsid w:val="002B6565"/>
    <w:rsid w:val="002B7B53"/>
    <w:rsid w:val="002C014A"/>
    <w:rsid w:val="002C0310"/>
    <w:rsid w:val="002C2203"/>
    <w:rsid w:val="002C2A1A"/>
    <w:rsid w:val="002C4252"/>
    <w:rsid w:val="002C5DE1"/>
    <w:rsid w:val="002C7E1F"/>
    <w:rsid w:val="002D503D"/>
    <w:rsid w:val="002D5599"/>
    <w:rsid w:val="002E001A"/>
    <w:rsid w:val="002E6150"/>
    <w:rsid w:val="002E6720"/>
    <w:rsid w:val="002E7C73"/>
    <w:rsid w:val="002E7E8D"/>
    <w:rsid w:val="002F3365"/>
    <w:rsid w:val="002F6567"/>
    <w:rsid w:val="003034DF"/>
    <w:rsid w:val="0030540D"/>
    <w:rsid w:val="0030637A"/>
    <w:rsid w:val="00310638"/>
    <w:rsid w:val="00310D06"/>
    <w:rsid w:val="003110C9"/>
    <w:rsid w:val="00312012"/>
    <w:rsid w:val="00317D19"/>
    <w:rsid w:val="00320E9C"/>
    <w:rsid w:val="00321671"/>
    <w:rsid w:val="00321B58"/>
    <w:rsid w:val="00323215"/>
    <w:rsid w:val="003237FC"/>
    <w:rsid w:val="003251C3"/>
    <w:rsid w:val="00327028"/>
    <w:rsid w:val="00327911"/>
    <w:rsid w:val="00332AFB"/>
    <w:rsid w:val="0033496E"/>
    <w:rsid w:val="00334AD6"/>
    <w:rsid w:val="00334E39"/>
    <w:rsid w:val="00336205"/>
    <w:rsid w:val="003405EE"/>
    <w:rsid w:val="0034444A"/>
    <w:rsid w:val="00346599"/>
    <w:rsid w:val="003476A6"/>
    <w:rsid w:val="00350618"/>
    <w:rsid w:val="003539B8"/>
    <w:rsid w:val="00353DDD"/>
    <w:rsid w:val="0035473F"/>
    <w:rsid w:val="00354DB1"/>
    <w:rsid w:val="00357077"/>
    <w:rsid w:val="003606E1"/>
    <w:rsid w:val="003736B9"/>
    <w:rsid w:val="00374329"/>
    <w:rsid w:val="0037442E"/>
    <w:rsid w:val="0037452B"/>
    <w:rsid w:val="00374868"/>
    <w:rsid w:val="0038020E"/>
    <w:rsid w:val="00381576"/>
    <w:rsid w:val="00382773"/>
    <w:rsid w:val="00383C18"/>
    <w:rsid w:val="003845FC"/>
    <w:rsid w:val="003848B8"/>
    <w:rsid w:val="0038511C"/>
    <w:rsid w:val="00391D40"/>
    <w:rsid w:val="00394DF6"/>
    <w:rsid w:val="00396199"/>
    <w:rsid w:val="003A10A2"/>
    <w:rsid w:val="003A1F8B"/>
    <w:rsid w:val="003A2AEA"/>
    <w:rsid w:val="003B700D"/>
    <w:rsid w:val="003C3FF4"/>
    <w:rsid w:val="003C66D0"/>
    <w:rsid w:val="003C7728"/>
    <w:rsid w:val="003D2142"/>
    <w:rsid w:val="003D238A"/>
    <w:rsid w:val="003D3DBB"/>
    <w:rsid w:val="003D5851"/>
    <w:rsid w:val="003D62C9"/>
    <w:rsid w:val="003D69C7"/>
    <w:rsid w:val="003E0C93"/>
    <w:rsid w:val="003F1052"/>
    <w:rsid w:val="003F1056"/>
    <w:rsid w:val="003F5B8F"/>
    <w:rsid w:val="003F5E08"/>
    <w:rsid w:val="003F6C1A"/>
    <w:rsid w:val="003F6C6F"/>
    <w:rsid w:val="004008FD"/>
    <w:rsid w:val="004015B8"/>
    <w:rsid w:val="00402576"/>
    <w:rsid w:val="0040487F"/>
    <w:rsid w:val="00410001"/>
    <w:rsid w:val="0041200B"/>
    <w:rsid w:val="0041256A"/>
    <w:rsid w:val="00412A8D"/>
    <w:rsid w:val="00413C45"/>
    <w:rsid w:val="00431F1F"/>
    <w:rsid w:val="00432000"/>
    <w:rsid w:val="00435174"/>
    <w:rsid w:val="0043538D"/>
    <w:rsid w:val="00437CA2"/>
    <w:rsid w:val="004405C1"/>
    <w:rsid w:val="004405F1"/>
    <w:rsid w:val="004415D8"/>
    <w:rsid w:val="00443369"/>
    <w:rsid w:val="00450234"/>
    <w:rsid w:val="00451AB9"/>
    <w:rsid w:val="004563CE"/>
    <w:rsid w:val="00456A57"/>
    <w:rsid w:val="0045758F"/>
    <w:rsid w:val="00462DA3"/>
    <w:rsid w:val="00463580"/>
    <w:rsid w:val="0046791C"/>
    <w:rsid w:val="00470C41"/>
    <w:rsid w:val="004717C7"/>
    <w:rsid w:val="004748F7"/>
    <w:rsid w:val="00474EA2"/>
    <w:rsid w:val="00475024"/>
    <w:rsid w:val="00480023"/>
    <w:rsid w:val="00484902"/>
    <w:rsid w:val="00485A8B"/>
    <w:rsid w:val="0048685E"/>
    <w:rsid w:val="0048750D"/>
    <w:rsid w:val="00487D4D"/>
    <w:rsid w:val="00494099"/>
    <w:rsid w:val="00494421"/>
    <w:rsid w:val="004967E4"/>
    <w:rsid w:val="00497DC4"/>
    <w:rsid w:val="004A1585"/>
    <w:rsid w:val="004A16BD"/>
    <w:rsid w:val="004A230E"/>
    <w:rsid w:val="004A2456"/>
    <w:rsid w:val="004A74FF"/>
    <w:rsid w:val="004B1194"/>
    <w:rsid w:val="004B3586"/>
    <w:rsid w:val="004B3E9E"/>
    <w:rsid w:val="004B5E86"/>
    <w:rsid w:val="004B73C3"/>
    <w:rsid w:val="004C0423"/>
    <w:rsid w:val="004C1532"/>
    <w:rsid w:val="004C205A"/>
    <w:rsid w:val="004C29D0"/>
    <w:rsid w:val="004C5D5C"/>
    <w:rsid w:val="004C6AAD"/>
    <w:rsid w:val="004D0521"/>
    <w:rsid w:val="004D1505"/>
    <w:rsid w:val="004D2862"/>
    <w:rsid w:val="004D32DB"/>
    <w:rsid w:val="004D49A2"/>
    <w:rsid w:val="004D679D"/>
    <w:rsid w:val="004D7545"/>
    <w:rsid w:val="004E05F8"/>
    <w:rsid w:val="004E367E"/>
    <w:rsid w:val="004E47BB"/>
    <w:rsid w:val="004E4D36"/>
    <w:rsid w:val="004E6E1F"/>
    <w:rsid w:val="004F004B"/>
    <w:rsid w:val="004F133D"/>
    <w:rsid w:val="004F1A0D"/>
    <w:rsid w:val="004F5A5B"/>
    <w:rsid w:val="00500368"/>
    <w:rsid w:val="0050137D"/>
    <w:rsid w:val="00501C84"/>
    <w:rsid w:val="00504AA9"/>
    <w:rsid w:val="0050787F"/>
    <w:rsid w:val="00510185"/>
    <w:rsid w:val="005106B2"/>
    <w:rsid w:val="00510CED"/>
    <w:rsid w:val="00511CBA"/>
    <w:rsid w:val="00512D8A"/>
    <w:rsid w:val="00513649"/>
    <w:rsid w:val="00513D68"/>
    <w:rsid w:val="00514359"/>
    <w:rsid w:val="005160D1"/>
    <w:rsid w:val="00516AA8"/>
    <w:rsid w:val="00521621"/>
    <w:rsid w:val="00523A2D"/>
    <w:rsid w:val="005241CD"/>
    <w:rsid w:val="005264EF"/>
    <w:rsid w:val="0052683F"/>
    <w:rsid w:val="00531BAF"/>
    <w:rsid w:val="005324BE"/>
    <w:rsid w:val="00533E92"/>
    <w:rsid w:val="005413FD"/>
    <w:rsid w:val="00545649"/>
    <w:rsid w:val="00546116"/>
    <w:rsid w:val="00546481"/>
    <w:rsid w:val="0054726D"/>
    <w:rsid w:val="005503AF"/>
    <w:rsid w:val="005503B8"/>
    <w:rsid w:val="00551AEA"/>
    <w:rsid w:val="005536C3"/>
    <w:rsid w:val="005542F2"/>
    <w:rsid w:val="005560F2"/>
    <w:rsid w:val="00557F01"/>
    <w:rsid w:val="005615C6"/>
    <w:rsid w:val="005625F2"/>
    <w:rsid w:val="00562948"/>
    <w:rsid w:val="0056465B"/>
    <w:rsid w:val="005657C9"/>
    <w:rsid w:val="005665DB"/>
    <w:rsid w:val="00566FB8"/>
    <w:rsid w:val="005671DA"/>
    <w:rsid w:val="005672B6"/>
    <w:rsid w:val="00567B21"/>
    <w:rsid w:val="005725AE"/>
    <w:rsid w:val="0058001E"/>
    <w:rsid w:val="00580D3D"/>
    <w:rsid w:val="00581AC9"/>
    <w:rsid w:val="005839C8"/>
    <w:rsid w:val="00583D5D"/>
    <w:rsid w:val="00585309"/>
    <w:rsid w:val="00586980"/>
    <w:rsid w:val="00586CAA"/>
    <w:rsid w:val="005872C3"/>
    <w:rsid w:val="005903E7"/>
    <w:rsid w:val="00596E24"/>
    <w:rsid w:val="005A1A4A"/>
    <w:rsid w:val="005A1E2B"/>
    <w:rsid w:val="005A28A5"/>
    <w:rsid w:val="005A5403"/>
    <w:rsid w:val="005A5B9B"/>
    <w:rsid w:val="005A6117"/>
    <w:rsid w:val="005A68E5"/>
    <w:rsid w:val="005A7AD4"/>
    <w:rsid w:val="005B03BF"/>
    <w:rsid w:val="005B1692"/>
    <w:rsid w:val="005B2406"/>
    <w:rsid w:val="005B3241"/>
    <w:rsid w:val="005B4B52"/>
    <w:rsid w:val="005C0D29"/>
    <w:rsid w:val="005C192A"/>
    <w:rsid w:val="005C192E"/>
    <w:rsid w:val="005C4E17"/>
    <w:rsid w:val="005D154B"/>
    <w:rsid w:val="005D2AB7"/>
    <w:rsid w:val="005D3C2A"/>
    <w:rsid w:val="005D5C3C"/>
    <w:rsid w:val="005D5D0F"/>
    <w:rsid w:val="005E2A27"/>
    <w:rsid w:val="005F5667"/>
    <w:rsid w:val="005F7354"/>
    <w:rsid w:val="0060179B"/>
    <w:rsid w:val="00602A7C"/>
    <w:rsid w:val="00603E64"/>
    <w:rsid w:val="006065C4"/>
    <w:rsid w:val="00606894"/>
    <w:rsid w:val="0061096C"/>
    <w:rsid w:val="00611178"/>
    <w:rsid w:val="006124D5"/>
    <w:rsid w:val="00613ABD"/>
    <w:rsid w:val="00613E60"/>
    <w:rsid w:val="00614839"/>
    <w:rsid w:val="00620859"/>
    <w:rsid w:val="00620B31"/>
    <w:rsid w:val="00620F65"/>
    <w:rsid w:val="006212D2"/>
    <w:rsid w:val="0062140F"/>
    <w:rsid w:val="00622432"/>
    <w:rsid w:val="00622878"/>
    <w:rsid w:val="00622908"/>
    <w:rsid w:val="00622E84"/>
    <w:rsid w:val="00623622"/>
    <w:rsid w:val="006249B7"/>
    <w:rsid w:val="00625C4C"/>
    <w:rsid w:val="0062632D"/>
    <w:rsid w:val="00630AC2"/>
    <w:rsid w:val="00632431"/>
    <w:rsid w:val="006344CC"/>
    <w:rsid w:val="00634590"/>
    <w:rsid w:val="00636617"/>
    <w:rsid w:val="006366B1"/>
    <w:rsid w:val="00637EFA"/>
    <w:rsid w:val="00640820"/>
    <w:rsid w:val="0064457F"/>
    <w:rsid w:val="00646979"/>
    <w:rsid w:val="00646E7B"/>
    <w:rsid w:val="00650F7D"/>
    <w:rsid w:val="006510FB"/>
    <w:rsid w:val="00651834"/>
    <w:rsid w:val="0065230E"/>
    <w:rsid w:val="00653B5E"/>
    <w:rsid w:val="00654215"/>
    <w:rsid w:val="006546B7"/>
    <w:rsid w:val="006558AF"/>
    <w:rsid w:val="00655E53"/>
    <w:rsid w:val="006566A6"/>
    <w:rsid w:val="00656D4E"/>
    <w:rsid w:val="00657E82"/>
    <w:rsid w:val="00661A7F"/>
    <w:rsid w:val="00664771"/>
    <w:rsid w:val="00673C9E"/>
    <w:rsid w:val="00675510"/>
    <w:rsid w:val="00675657"/>
    <w:rsid w:val="00675B4D"/>
    <w:rsid w:val="00682E57"/>
    <w:rsid w:val="00683961"/>
    <w:rsid w:val="0068473B"/>
    <w:rsid w:val="00684998"/>
    <w:rsid w:val="00685C01"/>
    <w:rsid w:val="006871DA"/>
    <w:rsid w:val="00687949"/>
    <w:rsid w:val="00690447"/>
    <w:rsid w:val="006910AF"/>
    <w:rsid w:val="0069383C"/>
    <w:rsid w:val="00695146"/>
    <w:rsid w:val="006977E8"/>
    <w:rsid w:val="006A0DE2"/>
    <w:rsid w:val="006A13B4"/>
    <w:rsid w:val="006A22E5"/>
    <w:rsid w:val="006A379A"/>
    <w:rsid w:val="006A4102"/>
    <w:rsid w:val="006A49A4"/>
    <w:rsid w:val="006B073B"/>
    <w:rsid w:val="006B2783"/>
    <w:rsid w:val="006B3691"/>
    <w:rsid w:val="006B4548"/>
    <w:rsid w:val="006B6B5C"/>
    <w:rsid w:val="006B6EAE"/>
    <w:rsid w:val="006B759D"/>
    <w:rsid w:val="006C20F8"/>
    <w:rsid w:val="006C7C3F"/>
    <w:rsid w:val="006D2FCC"/>
    <w:rsid w:val="006D3AD9"/>
    <w:rsid w:val="006D4886"/>
    <w:rsid w:val="006D6758"/>
    <w:rsid w:val="006D6A1B"/>
    <w:rsid w:val="006D72FB"/>
    <w:rsid w:val="006E4727"/>
    <w:rsid w:val="006E4F24"/>
    <w:rsid w:val="006F3D9E"/>
    <w:rsid w:val="006F5089"/>
    <w:rsid w:val="006F557E"/>
    <w:rsid w:val="006F5FBF"/>
    <w:rsid w:val="006F786A"/>
    <w:rsid w:val="00700C7C"/>
    <w:rsid w:val="00701C15"/>
    <w:rsid w:val="00711DFD"/>
    <w:rsid w:val="00712AD1"/>
    <w:rsid w:val="0071589B"/>
    <w:rsid w:val="00716ACA"/>
    <w:rsid w:val="00720A69"/>
    <w:rsid w:val="0072171E"/>
    <w:rsid w:val="00723D00"/>
    <w:rsid w:val="007244CB"/>
    <w:rsid w:val="00724A04"/>
    <w:rsid w:val="00725D9C"/>
    <w:rsid w:val="007260EB"/>
    <w:rsid w:val="007261A5"/>
    <w:rsid w:val="007267B3"/>
    <w:rsid w:val="00726A03"/>
    <w:rsid w:val="00726E62"/>
    <w:rsid w:val="00727759"/>
    <w:rsid w:val="00731BEE"/>
    <w:rsid w:val="00732DFC"/>
    <w:rsid w:val="00734175"/>
    <w:rsid w:val="0073552F"/>
    <w:rsid w:val="00736D5D"/>
    <w:rsid w:val="007407CE"/>
    <w:rsid w:val="0074178A"/>
    <w:rsid w:val="00743A05"/>
    <w:rsid w:val="007447B5"/>
    <w:rsid w:val="00750D09"/>
    <w:rsid w:val="00752678"/>
    <w:rsid w:val="00752C81"/>
    <w:rsid w:val="00752F10"/>
    <w:rsid w:val="007561BD"/>
    <w:rsid w:val="007565C8"/>
    <w:rsid w:val="00756827"/>
    <w:rsid w:val="0076316D"/>
    <w:rsid w:val="00764247"/>
    <w:rsid w:val="0077264D"/>
    <w:rsid w:val="007730E8"/>
    <w:rsid w:val="00775E19"/>
    <w:rsid w:val="00775E8A"/>
    <w:rsid w:val="00776CEA"/>
    <w:rsid w:val="00781E9C"/>
    <w:rsid w:val="007828CA"/>
    <w:rsid w:val="0078376A"/>
    <w:rsid w:val="007848DC"/>
    <w:rsid w:val="0078679F"/>
    <w:rsid w:val="00790FD0"/>
    <w:rsid w:val="00791021"/>
    <w:rsid w:val="00793504"/>
    <w:rsid w:val="00796E16"/>
    <w:rsid w:val="007A0296"/>
    <w:rsid w:val="007A198F"/>
    <w:rsid w:val="007A2E09"/>
    <w:rsid w:val="007A3BBE"/>
    <w:rsid w:val="007A514E"/>
    <w:rsid w:val="007B050B"/>
    <w:rsid w:val="007B08BF"/>
    <w:rsid w:val="007B1EEE"/>
    <w:rsid w:val="007B2440"/>
    <w:rsid w:val="007B6413"/>
    <w:rsid w:val="007B69F1"/>
    <w:rsid w:val="007B7982"/>
    <w:rsid w:val="007C0375"/>
    <w:rsid w:val="007C6A17"/>
    <w:rsid w:val="007C74B8"/>
    <w:rsid w:val="007D567D"/>
    <w:rsid w:val="007D7C77"/>
    <w:rsid w:val="007E03E8"/>
    <w:rsid w:val="007E108A"/>
    <w:rsid w:val="007E13D6"/>
    <w:rsid w:val="007E2885"/>
    <w:rsid w:val="007E37DB"/>
    <w:rsid w:val="007E5149"/>
    <w:rsid w:val="007F08E7"/>
    <w:rsid w:val="007F1FAA"/>
    <w:rsid w:val="007F29BE"/>
    <w:rsid w:val="007F2B20"/>
    <w:rsid w:val="007F3A71"/>
    <w:rsid w:val="007F3F2B"/>
    <w:rsid w:val="007F728F"/>
    <w:rsid w:val="00800A80"/>
    <w:rsid w:val="008012CE"/>
    <w:rsid w:val="00801EC9"/>
    <w:rsid w:val="00805BBE"/>
    <w:rsid w:val="008068A6"/>
    <w:rsid w:val="0080746D"/>
    <w:rsid w:val="0081113E"/>
    <w:rsid w:val="00813349"/>
    <w:rsid w:val="008139C1"/>
    <w:rsid w:val="0081550A"/>
    <w:rsid w:val="0082003B"/>
    <w:rsid w:val="00820CA9"/>
    <w:rsid w:val="0082497B"/>
    <w:rsid w:val="00830EF2"/>
    <w:rsid w:val="00831C1D"/>
    <w:rsid w:val="0083241B"/>
    <w:rsid w:val="00832F7D"/>
    <w:rsid w:val="00837F82"/>
    <w:rsid w:val="0084105A"/>
    <w:rsid w:val="0084129C"/>
    <w:rsid w:val="00842E08"/>
    <w:rsid w:val="008439B3"/>
    <w:rsid w:val="0084470A"/>
    <w:rsid w:val="00844E5D"/>
    <w:rsid w:val="00845CEA"/>
    <w:rsid w:val="008503B7"/>
    <w:rsid w:val="00850475"/>
    <w:rsid w:val="008506EE"/>
    <w:rsid w:val="0085369C"/>
    <w:rsid w:val="008544FB"/>
    <w:rsid w:val="00855543"/>
    <w:rsid w:val="008573C0"/>
    <w:rsid w:val="00860035"/>
    <w:rsid w:val="00860665"/>
    <w:rsid w:val="00861A16"/>
    <w:rsid w:val="00862C0F"/>
    <w:rsid w:val="00865599"/>
    <w:rsid w:val="00866348"/>
    <w:rsid w:val="00871B81"/>
    <w:rsid w:val="00872BFE"/>
    <w:rsid w:val="00873F6A"/>
    <w:rsid w:val="0087608B"/>
    <w:rsid w:val="008778D1"/>
    <w:rsid w:val="00880A38"/>
    <w:rsid w:val="00883033"/>
    <w:rsid w:val="00883312"/>
    <w:rsid w:val="00884A3D"/>
    <w:rsid w:val="00885047"/>
    <w:rsid w:val="0088599D"/>
    <w:rsid w:val="008873B6"/>
    <w:rsid w:val="008874B9"/>
    <w:rsid w:val="00894648"/>
    <w:rsid w:val="0089529A"/>
    <w:rsid w:val="00895EEC"/>
    <w:rsid w:val="008966AE"/>
    <w:rsid w:val="00896868"/>
    <w:rsid w:val="008A04B6"/>
    <w:rsid w:val="008A269E"/>
    <w:rsid w:val="008A4A02"/>
    <w:rsid w:val="008A53C1"/>
    <w:rsid w:val="008A738E"/>
    <w:rsid w:val="008A7458"/>
    <w:rsid w:val="008A78F2"/>
    <w:rsid w:val="008B0B69"/>
    <w:rsid w:val="008B0F07"/>
    <w:rsid w:val="008B2027"/>
    <w:rsid w:val="008B343A"/>
    <w:rsid w:val="008B402F"/>
    <w:rsid w:val="008B40A0"/>
    <w:rsid w:val="008B4624"/>
    <w:rsid w:val="008B4768"/>
    <w:rsid w:val="008B5AD6"/>
    <w:rsid w:val="008B712F"/>
    <w:rsid w:val="008C0543"/>
    <w:rsid w:val="008C482D"/>
    <w:rsid w:val="008D4902"/>
    <w:rsid w:val="008E6AE6"/>
    <w:rsid w:val="008E7DC8"/>
    <w:rsid w:val="008F002F"/>
    <w:rsid w:val="008F625C"/>
    <w:rsid w:val="0090025A"/>
    <w:rsid w:val="00901BC6"/>
    <w:rsid w:val="00901D4B"/>
    <w:rsid w:val="00902374"/>
    <w:rsid w:val="009026C2"/>
    <w:rsid w:val="00902D56"/>
    <w:rsid w:val="00903716"/>
    <w:rsid w:val="009041C9"/>
    <w:rsid w:val="00905715"/>
    <w:rsid w:val="00905D04"/>
    <w:rsid w:val="009066BF"/>
    <w:rsid w:val="00907189"/>
    <w:rsid w:val="0090724F"/>
    <w:rsid w:val="009116F7"/>
    <w:rsid w:val="00911F16"/>
    <w:rsid w:val="009209E3"/>
    <w:rsid w:val="00921B21"/>
    <w:rsid w:val="00922F5C"/>
    <w:rsid w:val="00925944"/>
    <w:rsid w:val="00927A1D"/>
    <w:rsid w:val="00930555"/>
    <w:rsid w:val="00932CAB"/>
    <w:rsid w:val="00933422"/>
    <w:rsid w:val="009339CE"/>
    <w:rsid w:val="00934A35"/>
    <w:rsid w:val="00936CE9"/>
    <w:rsid w:val="00937076"/>
    <w:rsid w:val="00941510"/>
    <w:rsid w:val="00941733"/>
    <w:rsid w:val="0094204C"/>
    <w:rsid w:val="00945232"/>
    <w:rsid w:val="00945EDE"/>
    <w:rsid w:val="0094683D"/>
    <w:rsid w:val="009517DE"/>
    <w:rsid w:val="00951E3D"/>
    <w:rsid w:val="00953E03"/>
    <w:rsid w:val="00955C9D"/>
    <w:rsid w:val="00956926"/>
    <w:rsid w:val="00960556"/>
    <w:rsid w:val="00960899"/>
    <w:rsid w:val="00960D4D"/>
    <w:rsid w:val="00961286"/>
    <w:rsid w:val="00961794"/>
    <w:rsid w:val="00961ACF"/>
    <w:rsid w:val="0096299E"/>
    <w:rsid w:val="00965339"/>
    <w:rsid w:val="00965721"/>
    <w:rsid w:val="00966B93"/>
    <w:rsid w:val="00966CEF"/>
    <w:rsid w:val="0097092C"/>
    <w:rsid w:val="00971DB0"/>
    <w:rsid w:val="0097280B"/>
    <w:rsid w:val="009757CB"/>
    <w:rsid w:val="00977CED"/>
    <w:rsid w:val="009813A5"/>
    <w:rsid w:val="0098167E"/>
    <w:rsid w:val="00985C20"/>
    <w:rsid w:val="00986E5C"/>
    <w:rsid w:val="009877EE"/>
    <w:rsid w:val="0099052E"/>
    <w:rsid w:val="00991DC1"/>
    <w:rsid w:val="00993292"/>
    <w:rsid w:val="00993AC7"/>
    <w:rsid w:val="0099673D"/>
    <w:rsid w:val="009A099F"/>
    <w:rsid w:val="009A1F10"/>
    <w:rsid w:val="009A4710"/>
    <w:rsid w:val="009A5877"/>
    <w:rsid w:val="009A67E7"/>
    <w:rsid w:val="009A7F0F"/>
    <w:rsid w:val="009B08FE"/>
    <w:rsid w:val="009B2869"/>
    <w:rsid w:val="009B3FE9"/>
    <w:rsid w:val="009B52E7"/>
    <w:rsid w:val="009C4BD2"/>
    <w:rsid w:val="009C4D56"/>
    <w:rsid w:val="009C52FC"/>
    <w:rsid w:val="009D1034"/>
    <w:rsid w:val="009D14AF"/>
    <w:rsid w:val="009E2F3E"/>
    <w:rsid w:val="009E7CD6"/>
    <w:rsid w:val="009F25E0"/>
    <w:rsid w:val="009F3270"/>
    <w:rsid w:val="009F36E3"/>
    <w:rsid w:val="009F5E5A"/>
    <w:rsid w:val="00A0038B"/>
    <w:rsid w:val="00A00700"/>
    <w:rsid w:val="00A02F98"/>
    <w:rsid w:val="00A0305E"/>
    <w:rsid w:val="00A054AA"/>
    <w:rsid w:val="00A112F4"/>
    <w:rsid w:val="00A11576"/>
    <w:rsid w:val="00A12192"/>
    <w:rsid w:val="00A121D4"/>
    <w:rsid w:val="00A12647"/>
    <w:rsid w:val="00A15B7D"/>
    <w:rsid w:val="00A163A5"/>
    <w:rsid w:val="00A17BE3"/>
    <w:rsid w:val="00A22AB8"/>
    <w:rsid w:val="00A2362C"/>
    <w:rsid w:val="00A23848"/>
    <w:rsid w:val="00A27511"/>
    <w:rsid w:val="00A27E20"/>
    <w:rsid w:val="00A32BC3"/>
    <w:rsid w:val="00A35A3E"/>
    <w:rsid w:val="00A36D89"/>
    <w:rsid w:val="00A375E3"/>
    <w:rsid w:val="00A3795A"/>
    <w:rsid w:val="00A4117F"/>
    <w:rsid w:val="00A42872"/>
    <w:rsid w:val="00A42D0C"/>
    <w:rsid w:val="00A45082"/>
    <w:rsid w:val="00A47854"/>
    <w:rsid w:val="00A47944"/>
    <w:rsid w:val="00A519EB"/>
    <w:rsid w:val="00A53975"/>
    <w:rsid w:val="00A55A1D"/>
    <w:rsid w:val="00A56254"/>
    <w:rsid w:val="00A60688"/>
    <w:rsid w:val="00A60E76"/>
    <w:rsid w:val="00A61B0C"/>
    <w:rsid w:val="00A61BE1"/>
    <w:rsid w:val="00A65F0A"/>
    <w:rsid w:val="00A66A9F"/>
    <w:rsid w:val="00A704F9"/>
    <w:rsid w:val="00A7195E"/>
    <w:rsid w:val="00A73093"/>
    <w:rsid w:val="00A75976"/>
    <w:rsid w:val="00A76A60"/>
    <w:rsid w:val="00A771ED"/>
    <w:rsid w:val="00A81384"/>
    <w:rsid w:val="00A83D49"/>
    <w:rsid w:val="00A84170"/>
    <w:rsid w:val="00A912C5"/>
    <w:rsid w:val="00A91470"/>
    <w:rsid w:val="00A91EFF"/>
    <w:rsid w:val="00A92C6A"/>
    <w:rsid w:val="00A93B66"/>
    <w:rsid w:val="00A94F3B"/>
    <w:rsid w:val="00AA077C"/>
    <w:rsid w:val="00AA5AB7"/>
    <w:rsid w:val="00AA6241"/>
    <w:rsid w:val="00AA697B"/>
    <w:rsid w:val="00AB2B70"/>
    <w:rsid w:val="00AB5EE9"/>
    <w:rsid w:val="00AB6947"/>
    <w:rsid w:val="00AB75BC"/>
    <w:rsid w:val="00AC0169"/>
    <w:rsid w:val="00AC209F"/>
    <w:rsid w:val="00AC2906"/>
    <w:rsid w:val="00AC366F"/>
    <w:rsid w:val="00AC6E2F"/>
    <w:rsid w:val="00AD06AE"/>
    <w:rsid w:val="00AD2BB6"/>
    <w:rsid w:val="00AD55E3"/>
    <w:rsid w:val="00AD6694"/>
    <w:rsid w:val="00AD766E"/>
    <w:rsid w:val="00AE0032"/>
    <w:rsid w:val="00AE077F"/>
    <w:rsid w:val="00AE07CC"/>
    <w:rsid w:val="00AE14B6"/>
    <w:rsid w:val="00AE17C9"/>
    <w:rsid w:val="00AE2176"/>
    <w:rsid w:val="00AE27EF"/>
    <w:rsid w:val="00AE794F"/>
    <w:rsid w:val="00AE7E07"/>
    <w:rsid w:val="00AF3AC3"/>
    <w:rsid w:val="00AF4114"/>
    <w:rsid w:val="00AF4DAE"/>
    <w:rsid w:val="00AF6256"/>
    <w:rsid w:val="00AF76D7"/>
    <w:rsid w:val="00AF7E3D"/>
    <w:rsid w:val="00B006DE"/>
    <w:rsid w:val="00B02FCE"/>
    <w:rsid w:val="00B039EF"/>
    <w:rsid w:val="00B03FE4"/>
    <w:rsid w:val="00B067A8"/>
    <w:rsid w:val="00B06C65"/>
    <w:rsid w:val="00B10834"/>
    <w:rsid w:val="00B16D78"/>
    <w:rsid w:val="00B16F48"/>
    <w:rsid w:val="00B272AB"/>
    <w:rsid w:val="00B30862"/>
    <w:rsid w:val="00B444F7"/>
    <w:rsid w:val="00B46DA1"/>
    <w:rsid w:val="00B53DA4"/>
    <w:rsid w:val="00B55D40"/>
    <w:rsid w:val="00B5636E"/>
    <w:rsid w:val="00B56EB3"/>
    <w:rsid w:val="00B5729B"/>
    <w:rsid w:val="00B605B0"/>
    <w:rsid w:val="00B619A1"/>
    <w:rsid w:val="00B620A7"/>
    <w:rsid w:val="00B6211E"/>
    <w:rsid w:val="00B64AAE"/>
    <w:rsid w:val="00B652FD"/>
    <w:rsid w:val="00B66DA2"/>
    <w:rsid w:val="00B6714E"/>
    <w:rsid w:val="00B67152"/>
    <w:rsid w:val="00B702BB"/>
    <w:rsid w:val="00B7102B"/>
    <w:rsid w:val="00B71DAF"/>
    <w:rsid w:val="00B74617"/>
    <w:rsid w:val="00B7674E"/>
    <w:rsid w:val="00B81197"/>
    <w:rsid w:val="00B82AFD"/>
    <w:rsid w:val="00B84163"/>
    <w:rsid w:val="00B84F88"/>
    <w:rsid w:val="00B850BD"/>
    <w:rsid w:val="00B8586D"/>
    <w:rsid w:val="00B85B22"/>
    <w:rsid w:val="00B8608C"/>
    <w:rsid w:val="00B86635"/>
    <w:rsid w:val="00B86792"/>
    <w:rsid w:val="00B906AF"/>
    <w:rsid w:val="00B94CE1"/>
    <w:rsid w:val="00B957C5"/>
    <w:rsid w:val="00B960BC"/>
    <w:rsid w:val="00BA1BD7"/>
    <w:rsid w:val="00BA2B27"/>
    <w:rsid w:val="00BA5469"/>
    <w:rsid w:val="00BA5943"/>
    <w:rsid w:val="00BA5CE4"/>
    <w:rsid w:val="00BB2D0C"/>
    <w:rsid w:val="00BB40A7"/>
    <w:rsid w:val="00BB42A3"/>
    <w:rsid w:val="00BB5733"/>
    <w:rsid w:val="00BB72ED"/>
    <w:rsid w:val="00BB7501"/>
    <w:rsid w:val="00BC01BC"/>
    <w:rsid w:val="00BC088A"/>
    <w:rsid w:val="00BC2A1F"/>
    <w:rsid w:val="00BC2E35"/>
    <w:rsid w:val="00BC3374"/>
    <w:rsid w:val="00BC6518"/>
    <w:rsid w:val="00BC6C83"/>
    <w:rsid w:val="00BD0947"/>
    <w:rsid w:val="00BD447B"/>
    <w:rsid w:val="00BD4DAA"/>
    <w:rsid w:val="00BD5ED0"/>
    <w:rsid w:val="00BE138C"/>
    <w:rsid w:val="00BE162B"/>
    <w:rsid w:val="00BE4739"/>
    <w:rsid w:val="00BE5A07"/>
    <w:rsid w:val="00BE764F"/>
    <w:rsid w:val="00BF171D"/>
    <w:rsid w:val="00BF17F8"/>
    <w:rsid w:val="00BF222A"/>
    <w:rsid w:val="00BF4792"/>
    <w:rsid w:val="00BF5B78"/>
    <w:rsid w:val="00C00FFA"/>
    <w:rsid w:val="00C01DA4"/>
    <w:rsid w:val="00C02D00"/>
    <w:rsid w:val="00C03267"/>
    <w:rsid w:val="00C04D64"/>
    <w:rsid w:val="00C06604"/>
    <w:rsid w:val="00C06978"/>
    <w:rsid w:val="00C07DED"/>
    <w:rsid w:val="00C12820"/>
    <w:rsid w:val="00C13223"/>
    <w:rsid w:val="00C135BF"/>
    <w:rsid w:val="00C20AF3"/>
    <w:rsid w:val="00C22153"/>
    <w:rsid w:val="00C23E43"/>
    <w:rsid w:val="00C24375"/>
    <w:rsid w:val="00C353E9"/>
    <w:rsid w:val="00C44987"/>
    <w:rsid w:val="00C51F18"/>
    <w:rsid w:val="00C523FC"/>
    <w:rsid w:val="00C55BA9"/>
    <w:rsid w:val="00C56243"/>
    <w:rsid w:val="00C5734C"/>
    <w:rsid w:val="00C61E2B"/>
    <w:rsid w:val="00C663AE"/>
    <w:rsid w:val="00C66DFA"/>
    <w:rsid w:val="00C70228"/>
    <w:rsid w:val="00C76074"/>
    <w:rsid w:val="00C80BA2"/>
    <w:rsid w:val="00C814CD"/>
    <w:rsid w:val="00C81BD2"/>
    <w:rsid w:val="00C81E9E"/>
    <w:rsid w:val="00C83148"/>
    <w:rsid w:val="00C83C67"/>
    <w:rsid w:val="00C84765"/>
    <w:rsid w:val="00C848F2"/>
    <w:rsid w:val="00C84C79"/>
    <w:rsid w:val="00C866EC"/>
    <w:rsid w:val="00C8708C"/>
    <w:rsid w:val="00C91F6E"/>
    <w:rsid w:val="00C93596"/>
    <w:rsid w:val="00C954BA"/>
    <w:rsid w:val="00CA0A21"/>
    <w:rsid w:val="00CA2DD1"/>
    <w:rsid w:val="00CA3CFB"/>
    <w:rsid w:val="00CA3D7E"/>
    <w:rsid w:val="00CA57DD"/>
    <w:rsid w:val="00CA7799"/>
    <w:rsid w:val="00CB0FF8"/>
    <w:rsid w:val="00CB550C"/>
    <w:rsid w:val="00CB6DAC"/>
    <w:rsid w:val="00CC14CD"/>
    <w:rsid w:val="00CC16A2"/>
    <w:rsid w:val="00CC30BC"/>
    <w:rsid w:val="00CC3BCE"/>
    <w:rsid w:val="00CC6F96"/>
    <w:rsid w:val="00CD5EF8"/>
    <w:rsid w:val="00CD71BD"/>
    <w:rsid w:val="00CD7B82"/>
    <w:rsid w:val="00CE40AF"/>
    <w:rsid w:val="00CE43B0"/>
    <w:rsid w:val="00CE6B1C"/>
    <w:rsid w:val="00CF261E"/>
    <w:rsid w:val="00CF3916"/>
    <w:rsid w:val="00CF3DF7"/>
    <w:rsid w:val="00D009BF"/>
    <w:rsid w:val="00D06DC9"/>
    <w:rsid w:val="00D11D3F"/>
    <w:rsid w:val="00D1504B"/>
    <w:rsid w:val="00D16751"/>
    <w:rsid w:val="00D211B3"/>
    <w:rsid w:val="00D226AC"/>
    <w:rsid w:val="00D22C69"/>
    <w:rsid w:val="00D2432C"/>
    <w:rsid w:val="00D27AAD"/>
    <w:rsid w:val="00D3108F"/>
    <w:rsid w:val="00D318D4"/>
    <w:rsid w:val="00D32467"/>
    <w:rsid w:val="00D33134"/>
    <w:rsid w:val="00D36E50"/>
    <w:rsid w:val="00D4113C"/>
    <w:rsid w:val="00D426C3"/>
    <w:rsid w:val="00D429A6"/>
    <w:rsid w:val="00D44FD3"/>
    <w:rsid w:val="00D45338"/>
    <w:rsid w:val="00D456E1"/>
    <w:rsid w:val="00D45D06"/>
    <w:rsid w:val="00D478D5"/>
    <w:rsid w:val="00D512CF"/>
    <w:rsid w:val="00D526F1"/>
    <w:rsid w:val="00D5361A"/>
    <w:rsid w:val="00D53B94"/>
    <w:rsid w:val="00D568F3"/>
    <w:rsid w:val="00D601B0"/>
    <w:rsid w:val="00D60961"/>
    <w:rsid w:val="00D6206F"/>
    <w:rsid w:val="00D62A68"/>
    <w:rsid w:val="00D66065"/>
    <w:rsid w:val="00D7581D"/>
    <w:rsid w:val="00D75F35"/>
    <w:rsid w:val="00D76624"/>
    <w:rsid w:val="00D77D5A"/>
    <w:rsid w:val="00D81283"/>
    <w:rsid w:val="00D81659"/>
    <w:rsid w:val="00D8258C"/>
    <w:rsid w:val="00D82B68"/>
    <w:rsid w:val="00D8418E"/>
    <w:rsid w:val="00D84D15"/>
    <w:rsid w:val="00D85E88"/>
    <w:rsid w:val="00D87F09"/>
    <w:rsid w:val="00D9169F"/>
    <w:rsid w:val="00D93462"/>
    <w:rsid w:val="00D9598B"/>
    <w:rsid w:val="00DA0CDF"/>
    <w:rsid w:val="00DA4A81"/>
    <w:rsid w:val="00DA60D5"/>
    <w:rsid w:val="00DA7B69"/>
    <w:rsid w:val="00DB0F0C"/>
    <w:rsid w:val="00DB1F3D"/>
    <w:rsid w:val="00DB2195"/>
    <w:rsid w:val="00DB5F30"/>
    <w:rsid w:val="00DC13B5"/>
    <w:rsid w:val="00DC1C2D"/>
    <w:rsid w:val="00DC3805"/>
    <w:rsid w:val="00DC3980"/>
    <w:rsid w:val="00DC677D"/>
    <w:rsid w:val="00DC6C0C"/>
    <w:rsid w:val="00DC7445"/>
    <w:rsid w:val="00DD02B9"/>
    <w:rsid w:val="00DD05BE"/>
    <w:rsid w:val="00DD17CB"/>
    <w:rsid w:val="00DD6A56"/>
    <w:rsid w:val="00DD7A6F"/>
    <w:rsid w:val="00DE3012"/>
    <w:rsid w:val="00DE36E6"/>
    <w:rsid w:val="00DE576C"/>
    <w:rsid w:val="00DE6F6B"/>
    <w:rsid w:val="00DE790E"/>
    <w:rsid w:val="00DF1B7F"/>
    <w:rsid w:val="00DF2731"/>
    <w:rsid w:val="00DF29B8"/>
    <w:rsid w:val="00DF2D6D"/>
    <w:rsid w:val="00DF46E1"/>
    <w:rsid w:val="00DF4EAB"/>
    <w:rsid w:val="00DF79A4"/>
    <w:rsid w:val="00E019AA"/>
    <w:rsid w:val="00E01CDA"/>
    <w:rsid w:val="00E01D21"/>
    <w:rsid w:val="00E01FA7"/>
    <w:rsid w:val="00E036DE"/>
    <w:rsid w:val="00E07D3A"/>
    <w:rsid w:val="00E112B7"/>
    <w:rsid w:val="00E12ABC"/>
    <w:rsid w:val="00E160C7"/>
    <w:rsid w:val="00E20ED0"/>
    <w:rsid w:val="00E220A4"/>
    <w:rsid w:val="00E22728"/>
    <w:rsid w:val="00E22FAD"/>
    <w:rsid w:val="00E25973"/>
    <w:rsid w:val="00E271AD"/>
    <w:rsid w:val="00E308E3"/>
    <w:rsid w:val="00E315DD"/>
    <w:rsid w:val="00E33C35"/>
    <w:rsid w:val="00E36847"/>
    <w:rsid w:val="00E372E1"/>
    <w:rsid w:val="00E44552"/>
    <w:rsid w:val="00E47829"/>
    <w:rsid w:val="00E5085D"/>
    <w:rsid w:val="00E514C8"/>
    <w:rsid w:val="00E52EC8"/>
    <w:rsid w:val="00E53410"/>
    <w:rsid w:val="00E55F66"/>
    <w:rsid w:val="00E5650A"/>
    <w:rsid w:val="00E56AC8"/>
    <w:rsid w:val="00E579D3"/>
    <w:rsid w:val="00E61D5C"/>
    <w:rsid w:val="00E62549"/>
    <w:rsid w:val="00E63415"/>
    <w:rsid w:val="00E6366B"/>
    <w:rsid w:val="00E653EC"/>
    <w:rsid w:val="00E658CC"/>
    <w:rsid w:val="00E66A51"/>
    <w:rsid w:val="00E67BF0"/>
    <w:rsid w:val="00E757D6"/>
    <w:rsid w:val="00E75EA3"/>
    <w:rsid w:val="00E82F85"/>
    <w:rsid w:val="00E8315E"/>
    <w:rsid w:val="00E85D5E"/>
    <w:rsid w:val="00E8603C"/>
    <w:rsid w:val="00E870FC"/>
    <w:rsid w:val="00E90A56"/>
    <w:rsid w:val="00E91DE7"/>
    <w:rsid w:val="00E96FC7"/>
    <w:rsid w:val="00EA0896"/>
    <w:rsid w:val="00EA175C"/>
    <w:rsid w:val="00EA1DDA"/>
    <w:rsid w:val="00EA4376"/>
    <w:rsid w:val="00EB02AF"/>
    <w:rsid w:val="00EB0790"/>
    <w:rsid w:val="00EB1589"/>
    <w:rsid w:val="00EB3CC2"/>
    <w:rsid w:val="00EB3D7A"/>
    <w:rsid w:val="00EB43DE"/>
    <w:rsid w:val="00EB6C71"/>
    <w:rsid w:val="00EC004C"/>
    <w:rsid w:val="00EC0483"/>
    <w:rsid w:val="00EC0EB9"/>
    <w:rsid w:val="00EC45E2"/>
    <w:rsid w:val="00EC5497"/>
    <w:rsid w:val="00ED00F8"/>
    <w:rsid w:val="00ED264E"/>
    <w:rsid w:val="00EE326F"/>
    <w:rsid w:val="00EE430F"/>
    <w:rsid w:val="00EE5361"/>
    <w:rsid w:val="00EE551C"/>
    <w:rsid w:val="00EE60F7"/>
    <w:rsid w:val="00EE6672"/>
    <w:rsid w:val="00EE7547"/>
    <w:rsid w:val="00EF1CF3"/>
    <w:rsid w:val="00EF2685"/>
    <w:rsid w:val="00EF51CC"/>
    <w:rsid w:val="00EF581C"/>
    <w:rsid w:val="00EF5CBC"/>
    <w:rsid w:val="00EF5E8C"/>
    <w:rsid w:val="00EF614D"/>
    <w:rsid w:val="00EF7549"/>
    <w:rsid w:val="00F02234"/>
    <w:rsid w:val="00F03555"/>
    <w:rsid w:val="00F05CE4"/>
    <w:rsid w:val="00F0617F"/>
    <w:rsid w:val="00F07CCB"/>
    <w:rsid w:val="00F07F03"/>
    <w:rsid w:val="00F115C0"/>
    <w:rsid w:val="00F14A55"/>
    <w:rsid w:val="00F15A6A"/>
    <w:rsid w:val="00F20711"/>
    <w:rsid w:val="00F20D07"/>
    <w:rsid w:val="00F22D71"/>
    <w:rsid w:val="00F24285"/>
    <w:rsid w:val="00F24795"/>
    <w:rsid w:val="00F24F3A"/>
    <w:rsid w:val="00F267F8"/>
    <w:rsid w:val="00F2694B"/>
    <w:rsid w:val="00F31E62"/>
    <w:rsid w:val="00F32037"/>
    <w:rsid w:val="00F33131"/>
    <w:rsid w:val="00F33FB2"/>
    <w:rsid w:val="00F34238"/>
    <w:rsid w:val="00F34464"/>
    <w:rsid w:val="00F348CF"/>
    <w:rsid w:val="00F37B3A"/>
    <w:rsid w:val="00F41E04"/>
    <w:rsid w:val="00F43ADF"/>
    <w:rsid w:val="00F43D8D"/>
    <w:rsid w:val="00F45868"/>
    <w:rsid w:val="00F5080A"/>
    <w:rsid w:val="00F51B34"/>
    <w:rsid w:val="00F53EED"/>
    <w:rsid w:val="00F57CD5"/>
    <w:rsid w:val="00F6315F"/>
    <w:rsid w:val="00F64276"/>
    <w:rsid w:val="00F64A4E"/>
    <w:rsid w:val="00F66222"/>
    <w:rsid w:val="00F70306"/>
    <w:rsid w:val="00F723ED"/>
    <w:rsid w:val="00F73DAE"/>
    <w:rsid w:val="00F75829"/>
    <w:rsid w:val="00F75B28"/>
    <w:rsid w:val="00F75C32"/>
    <w:rsid w:val="00F80F6E"/>
    <w:rsid w:val="00F8134C"/>
    <w:rsid w:val="00F9043E"/>
    <w:rsid w:val="00F91372"/>
    <w:rsid w:val="00F91F05"/>
    <w:rsid w:val="00F92DE1"/>
    <w:rsid w:val="00F93DDC"/>
    <w:rsid w:val="00F94FC5"/>
    <w:rsid w:val="00F95D00"/>
    <w:rsid w:val="00F9729D"/>
    <w:rsid w:val="00FA1CFA"/>
    <w:rsid w:val="00FA2A5F"/>
    <w:rsid w:val="00FA2FFC"/>
    <w:rsid w:val="00FA3ECC"/>
    <w:rsid w:val="00FA5EDE"/>
    <w:rsid w:val="00FA6B75"/>
    <w:rsid w:val="00FA7A57"/>
    <w:rsid w:val="00FB080F"/>
    <w:rsid w:val="00FB0896"/>
    <w:rsid w:val="00FB0E46"/>
    <w:rsid w:val="00FB7254"/>
    <w:rsid w:val="00FC01B2"/>
    <w:rsid w:val="00FC03FD"/>
    <w:rsid w:val="00FC4EE7"/>
    <w:rsid w:val="00FC5BA6"/>
    <w:rsid w:val="00FC61C5"/>
    <w:rsid w:val="00FD10C1"/>
    <w:rsid w:val="00FD1CC9"/>
    <w:rsid w:val="00FD32BB"/>
    <w:rsid w:val="00FD6BF2"/>
    <w:rsid w:val="00FD71C6"/>
    <w:rsid w:val="00FE237F"/>
    <w:rsid w:val="00FE3AC1"/>
    <w:rsid w:val="00FE437B"/>
    <w:rsid w:val="00FE4522"/>
    <w:rsid w:val="00FE518D"/>
    <w:rsid w:val="00FE7DB2"/>
    <w:rsid w:val="00FE7DD2"/>
    <w:rsid w:val="00FF4D92"/>
    <w:rsid w:val="00FF5A2F"/>
    <w:rsid w:val="00FF5E4B"/>
    <w:rsid w:val="00FF73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66"/>
    <w:rPr>
      <w:rFonts w:ascii="Times New Roman" w:eastAsia="Times New Roman" w:hAnsi="Times New Roman"/>
      <w:sz w:val="24"/>
      <w:szCs w:val="24"/>
    </w:rPr>
  </w:style>
  <w:style w:type="paragraph" w:styleId="Ttulo1">
    <w:name w:val="heading 1"/>
    <w:basedOn w:val="Normal"/>
    <w:next w:val="Normal"/>
    <w:link w:val="Ttulo1Car"/>
    <w:uiPriority w:val="9"/>
    <w:qFormat/>
    <w:rsid w:val="0025111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251114"/>
    <w:pPr>
      <w:keepNext/>
      <w:widowControl w:val="0"/>
      <w:autoSpaceDE w:val="0"/>
      <w:autoSpaceDN w:val="0"/>
      <w:adjustRightInd w:val="0"/>
      <w:ind w:left="-993" w:right="6638"/>
      <w:jc w:val="center"/>
      <w:outlineLvl w:val="1"/>
    </w:pPr>
    <w:rPr>
      <w:rFonts w:ascii="Garamond" w:hAnsi="Garamond"/>
      <w:b/>
      <w:bCs/>
      <w:sz w:val="16"/>
      <w:szCs w:val="16"/>
      <w:lang w:val="es-ES_tradnl"/>
    </w:rPr>
  </w:style>
  <w:style w:type="paragraph" w:styleId="Ttulo3">
    <w:name w:val="heading 3"/>
    <w:basedOn w:val="Normal"/>
    <w:next w:val="Normal"/>
    <w:link w:val="Ttulo3Car"/>
    <w:qFormat/>
    <w:rsid w:val="00251114"/>
    <w:pPr>
      <w:keepNext/>
      <w:widowControl w:val="0"/>
      <w:autoSpaceDE w:val="0"/>
      <w:autoSpaceDN w:val="0"/>
      <w:adjustRightInd w:val="0"/>
      <w:ind w:left="-993" w:right="6638"/>
      <w:jc w:val="center"/>
      <w:outlineLvl w:val="2"/>
    </w:pPr>
    <w:rPr>
      <w:rFonts w:ascii="Garamond" w:hAnsi="Garamond"/>
      <w:b/>
      <w:bCs/>
      <w:sz w:val="20"/>
      <w:szCs w:val="22"/>
      <w:lang w:val="es-ES_tradnl"/>
    </w:rPr>
  </w:style>
  <w:style w:type="paragraph" w:styleId="Ttulo4">
    <w:name w:val="heading 4"/>
    <w:basedOn w:val="Normal"/>
    <w:next w:val="Normal"/>
    <w:link w:val="Ttulo4Car"/>
    <w:qFormat/>
    <w:rsid w:val="00251114"/>
    <w:pPr>
      <w:keepNext/>
      <w:spacing w:line="360" w:lineRule="auto"/>
      <w:ind w:left="851" w:right="567" w:firstLine="709"/>
      <w:jc w:val="center"/>
      <w:outlineLvl w:val="3"/>
    </w:pPr>
    <w:rPr>
      <w:rFonts w:ascii="Arial" w:hAnsi="Arial" w:cs="Arial"/>
      <w:b/>
      <w:bCs/>
    </w:rPr>
  </w:style>
  <w:style w:type="paragraph" w:styleId="Ttulo5">
    <w:name w:val="heading 5"/>
    <w:basedOn w:val="Normal"/>
    <w:next w:val="Normal"/>
    <w:link w:val="Ttulo5Car"/>
    <w:qFormat/>
    <w:rsid w:val="00251114"/>
    <w:pPr>
      <w:keepNext/>
      <w:widowControl w:val="0"/>
      <w:autoSpaceDE w:val="0"/>
      <w:autoSpaceDN w:val="0"/>
      <w:adjustRightInd w:val="0"/>
      <w:ind w:right="6801"/>
      <w:jc w:val="center"/>
      <w:outlineLvl w:val="4"/>
    </w:pPr>
    <w:rPr>
      <w:rFonts w:ascii="Garamond" w:hAnsi="Garamond"/>
      <w:b/>
      <w:bCs/>
      <w:sz w:val="16"/>
      <w:szCs w:val="22"/>
      <w:lang w:val="es-ES_tradnl"/>
    </w:rPr>
  </w:style>
  <w:style w:type="paragraph" w:styleId="Ttulo7">
    <w:name w:val="heading 7"/>
    <w:basedOn w:val="Normal"/>
    <w:next w:val="Normal"/>
    <w:link w:val="Ttulo7Car"/>
    <w:qFormat/>
    <w:rsid w:val="00251114"/>
    <w:pPr>
      <w:keepNext/>
      <w:spacing w:line="360" w:lineRule="auto"/>
      <w:ind w:left="851" w:firstLine="709"/>
      <w:jc w:val="both"/>
      <w:outlineLvl w:val="6"/>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1114"/>
    <w:rPr>
      <w:rFonts w:ascii="Cambria" w:eastAsia="Times New Roman" w:hAnsi="Cambria" w:cs="Times New Roman"/>
      <w:b/>
      <w:bCs/>
      <w:kern w:val="32"/>
      <w:sz w:val="32"/>
      <w:szCs w:val="32"/>
      <w:lang w:eastAsia="es-ES"/>
    </w:rPr>
  </w:style>
  <w:style w:type="character" w:customStyle="1" w:styleId="Ttulo2Car">
    <w:name w:val="Título 2 Car"/>
    <w:basedOn w:val="Fuentedeprrafopredeter"/>
    <w:link w:val="Ttulo2"/>
    <w:rsid w:val="00251114"/>
    <w:rPr>
      <w:rFonts w:ascii="Garamond" w:eastAsia="Times New Roman" w:hAnsi="Garamond" w:cs="Times New Roman"/>
      <w:b/>
      <w:bCs/>
      <w:sz w:val="16"/>
      <w:szCs w:val="16"/>
      <w:lang w:val="es-ES_tradnl" w:eastAsia="es-ES"/>
    </w:rPr>
  </w:style>
  <w:style w:type="character" w:customStyle="1" w:styleId="Ttulo3Car">
    <w:name w:val="Título 3 Car"/>
    <w:basedOn w:val="Fuentedeprrafopredeter"/>
    <w:link w:val="Ttulo3"/>
    <w:rsid w:val="00251114"/>
    <w:rPr>
      <w:rFonts w:ascii="Garamond" w:eastAsia="Times New Roman" w:hAnsi="Garamond" w:cs="Times New Roman"/>
      <w:b/>
      <w:bCs/>
      <w:sz w:val="20"/>
      <w:lang w:val="es-ES_tradnl" w:eastAsia="es-ES"/>
    </w:rPr>
  </w:style>
  <w:style w:type="character" w:customStyle="1" w:styleId="Ttulo4Car">
    <w:name w:val="Título 4 Car"/>
    <w:basedOn w:val="Fuentedeprrafopredeter"/>
    <w:link w:val="Ttulo4"/>
    <w:rsid w:val="00251114"/>
    <w:rPr>
      <w:rFonts w:ascii="Arial" w:eastAsia="Times New Roman" w:hAnsi="Arial" w:cs="Arial"/>
      <w:b/>
      <w:bCs/>
      <w:sz w:val="24"/>
      <w:szCs w:val="24"/>
      <w:lang w:eastAsia="es-ES"/>
    </w:rPr>
  </w:style>
  <w:style w:type="character" w:customStyle="1" w:styleId="Ttulo5Car">
    <w:name w:val="Título 5 Car"/>
    <w:basedOn w:val="Fuentedeprrafopredeter"/>
    <w:link w:val="Ttulo5"/>
    <w:rsid w:val="00251114"/>
    <w:rPr>
      <w:rFonts w:ascii="Garamond" w:eastAsia="Times New Roman" w:hAnsi="Garamond" w:cs="Times New Roman"/>
      <w:b/>
      <w:bCs/>
      <w:sz w:val="16"/>
      <w:lang w:val="es-ES_tradnl" w:eastAsia="es-ES"/>
    </w:rPr>
  </w:style>
  <w:style w:type="character" w:customStyle="1" w:styleId="Ttulo7Car">
    <w:name w:val="Título 7 Car"/>
    <w:basedOn w:val="Fuentedeprrafopredeter"/>
    <w:link w:val="Ttulo7"/>
    <w:rsid w:val="00251114"/>
    <w:rPr>
      <w:rFonts w:ascii="Arial" w:eastAsia="Times New Roman" w:hAnsi="Arial" w:cs="Arial"/>
      <w:b/>
      <w:bCs/>
      <w:sz w:val="24"/>
      <w:szCs w:val="24"/>
      <w:lang w:eastAsia="es-ES"/>
    </w:rPr>
  </w:style>
  <w:style w:type="paragraph" w:styleId="Textoindependiente">
    <w:name w:val="Body Text"/>
    <w:basedOn w:val="Normal"/>
    <w:link w:val="TextoindependienteCar"/>
    <w:semiHidden/>
    <w:rsid w:val="00251114"/>
    <w:rPr>
      <w:sz w:val="22"/>
      <w:szCs w:val="20"/>
      <w:lang w:val="es-ES_tradnl"/>
    </w:rPr>
  </w:style>
  <w:style w:type="character" w:customStyle="1" w:styleId="TextoindependienteCar">
    <w:name w:val="Texto independiente Car"/>
    <w:basedOn w:val="Fuentedeprrafopredeter"/>
    <w:link w:val="Textoindependiente"/>
    <w:semiHidden/>
    <w:rsid w:val="00251114"/>
    <w:rPr>
      <w:rFonts w:ascii="Times New Roman" w:eastAsia="Times New Roman" w:hAnsi="Times New Roman" w:cs="Times New Roman"/>
      <w:szCs w:val="20"/>
      <w:lang w:val="es-ES_tradnl" w:eastAsia="es-ES"/>
    </w:rPr>
  </w:style>
  <w:style w:type="paragraph" w:styleId="Textodebloque">
    <w:name w:val="Block Text"/>
    <w:basedOn w:val="Normal"/>
    <w:semiHidden/>
    <w:rsid w:val="00251114"/>
    <w:pPr>
      <w:spacing w:line="360" w:lineRule="auto"/>
      <w:ind w:left="567" w:right="567" w:firstLine="709"/>
      <w:jc w:val="both"/>
    </w:pPr>
    <w:rPr>
      <w:rFonts w:ascii="Arial" w:hAnsi="Arial" w:cs="Arial"/>
    </w:rPr>
  </w:style>
  <w:style w:type="paragraph" w:styleId="Encabezado">
    <w:name w:val="header"/>
    <w:basedOn w:val="Normal"/>
    <w:link w:val="EncabezadoCar"/>
    <w:uiPriority w:val="99"/>
    <w:rsid w:val="00251114"/>
    <w:pPr>
      <w:tabs>
        <w:tab w:val="center" w:pos="4252"/>
        <w:tab w:val="right" w:pos="8504"/>
      </w:tabs>
    </w:pPr>
  </w:style>
  <w:style w:type="character" w:customStyle="1" w:styleId="EncabezadoCar">
    <w:name w:val="Encabezado Car"/>
    <w:basedOn w:val="Fuentedeprrafopredeter"/>
    <w:link w:val="Encabezado"/>
    <w:uiPriority w:val="99"/>
    <w:rsid w:val="00251114"/>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semiHidden/>
    <w:rsid w:val="00251114"/>
    <w:pPr>
      <w:spacing w:line="360" w:lineRule="auto"/>
      <w:ind w:firstLine="709"/>
      <w:jc w:val="both"/>
    </w:pPr>
    <w:rPr>
      <w:rFonts w:ascii="Arial" w:hAnsi="Arial" w:cs="Arial"/>
      <w:sz w:val="22"/>
      <w:szCs w:val="22"/>
    </w:rPr>
  </w:style>
  <w:style w:type="character" w:customStyle="1" w:styleId="SangradetextonormalCar">
    <w:name w:val="Sangría de texto normal Car"/>
    <w:basedOn w:val="Fuentedeprrafopredeter"/>
    <w:link w:val="Sangradetextonormal"/>
    <w:semiHidden/>
    <w:rsid w:val="00251114"/>
    <w:rPr>
      <w:rFonts w:ascii="Arial" w:eastAsia="Times New Roman" w:hAnsi="Arial" w:cs="Arial"/>
      <w:lang w:eastAsia="es-ES"/>
    </w:rPr>
  </w:style>
  <w:style w:type="paragraph" w:styleId="Piedepgina">
    <w:name w:val="footer"/>
    <w:basedOn w:val="Normal"/>
    <w:link w:val="PiedepginaCar"/>
    <w:uiPriority w:val="99"/>
    <w:unhideWhenUsed/>
    <w:rsid w:val="00241183"/>
    <w:pPr>
      <w:tabs>
        <w:tab w:val="center" w:pos="4252"/>
        <w:tab w:val="right" w:pos="8504"/>
      </w:tabs>
    </w:pPr>
  </w:style>
  <w:style w:type="character" w:customStyle="1" w:styleId="PiedepginaCar">
    <w:name w:val="Pie de página Car"/>
    <w:basedOn w:val="Fuentedeprrafopredeter"/>
    <w:link w:val="Piedepgina"/>
    <w:uiPriority w:val="99"/>
    <w:rsid w:val="00241183"/>
    <w:rPr>
      <w:rFonts w:ascii="Times New Roman" w:eastAsia="Times New Roman" w:hAnsi="Times New Roman"/>
      <w:sz w:val="24"/>
      <w:szCs w:val="24"/>
    </w:rPr>
  </w:style>
  <w:style w:type="character" w:styleId="Hipervnculo">
    <w:name w:val="Hyperlink"/>
    <w:basedOn w:val="Fuentedeprrafopredeter"/>
    <w:uiPriority w:val="99"/>
    <w:unhideWhenUsed/>
    <w:rsid w:val="00AE27EF"/>
    <w:rPr>
      <w:color w:val="0000FF"/>
      <w:u w:val="single"/>
    </w:rPr>
  </w:style>
  <w:style w:type="paragraph" w:styleId="Prrafodelista">
    <w:name w:val="List Paragraph"/>
    <w:basedOn w:val="Normal"/>
    <w:uiPriority w:val="34"/>
    <w:qFormat/>
    <w:rsid w:val="00BC088A"/>
    <w:pPr>
      <w:spacing w:after="200" w:line="276" w:lineRule="auto"/>
      <w:ind w:left="720"/>
      <w:contextualSpacing/>
    </w:pPr>
    <w:rPr>
      <w:rFonts w:ascii="Calibri" w:eastAsia="Calibri" w:hAnsi="Calibri"/>
      <w:sz w:val="22"/>
      <w:szCs w:val="22"/>
      <w:lang w:eastAsia="en-US"/>
    </w:rPr>
  </w:style>
  <w:style w:type="character" w:styleId="nfasis">
    <w:name w:val="Emphasis"/>
    <w:basedOn w:val="Fuentedeprrafopredeter"/>
    <w:uiPriority w:val="20"/>
    <w:qFormat/>
    <w:rsid w:val="00BC088A"/>
    <w:rPr>
      <w:i/>
      <w:iCs/>
    </w:rPr>
  </w:style>
  <w:style w:type="character" w:styleId="Textoennegrita">
    <w:name w:val="Strong"/>
    <w:basedOn w:val="Fuentedeprrafopredeter"/>
    <w:uiPriority w:val="22"/>
    <w:qFormat/>
    <w:rsid w:val="00CF3DF7"/>
    <w:rPr>
      <w:b/>
      <w:bCs/>
    </w:rPr>
  </w:style>
  <w:style w:type="paragraph" w:customStyle="1" w:styleId="parrafo">
    <w:name w:val="parrafo"/>
    <w:basedOn w:val="Normal"/>
    <w:rsid w:val="00CF3DF7"/>
    <w:pPr>
      <w:spacing w:before="100" w:beforeAutospacing="1" w:after="100" w:afterAutospacing="1"/>
    </w:pPr>
  </w:style>
  <w:style w:type="paragraph" w:styleId="NormalWeb">
    <w:name w:val="Normal (Web)"/>
    <w:basedOn w:val="Normal"/>
    <w:unhideWhenUsed/>
    <w:rsid w:val="00CF3DF7"/>
    <w:pPr>
      <w:spacing w:before="100" w:beforeAutospacing="1" w:after="100" w:afterAutospacing="1"/>
    </w:pPr>
  </w:style>
  <w:style w:type="character" w:customStyle="1" w:styleId="apple-converted-space">
    <w:name w:val="apple-converted-space"/>
    <w:basedOn w:val="Fuentedeprrafopredeter"/>
    <w:rsid w:val="00CF3DF7"/>
  </w:style>
  <w:style w:type="character" w:customStyle="1" w:styleId="resalte5">
    <w:name w:val="resalte5"/>
    <w:basedOn w:val="Fuentedeprrafopredeter"/>
    <w:rsid w:val="00E66A51"/>
    <w:rPr>
      <w:color w:val="FF0B0B"/>
    </w:rPr>
  </w:style>
  <w:style w:type="character" w:customStyle="1" w:styleId="nota-resumen1">
    <w:name w:val="nota-resumen1"/>
    <w:basedOn w:val="Fuentedeprrafopredeter"/>
    <w:rsid w:val="00E66A51"/>
    <w:rPr>
      <w:b w:val="0"/>
      <w:bCs w:val="0"/>
      <w:i w:val="0"/>
      <w:iCs w:val="0"/>
      <w:color w:val="0148B2"/>
      <w:bdr w:val="single" w:sz="4" w:space="0" w:color="0148B2" w:frame="1"/>
      <w:shd w:val="clear" w:color="auto" w:fill="E2EDF5"/>
    </w:rPr>
  </w:style>
  <w:style w:type="paragraph" w:customStyle="1" w:styleId="Estilo">
    <w:name w:val="Estilo"/>
    <w:uiPriority w:val="99"/>
    <w:rsid w:val="00736D5D"/>
    <w:pPr>
      <w:widowControl w:val="0"/>
      <w:autoSpaceDE w:val="0"/>
      <w:autoSpaceDN w:val="0"/>
      <w:adjustRightInd w:val="0"/>
    </w:pPr>
    <w:rPr>
      <w:rFonts w:ascii="Times New Roman" w:eastAsia="Times New Roman" w:hAnsi="Times New Roman"/>
      <w:sz w:val="24"/>
      <w:szCs w:val="24"/>
    </w:rPr>
  </w:style>
  <w:style w:type="character" w:customStyle="1" w:styleId="divtexto">
    <w:name w:val="divtexto"/>
    <w:basedOn w:val="Fuentedeprrafopredeter"/>
    <w:uiPriority w:val="99"/>
    <w:rsid w:val="00736D5D"/>
  </w:style>
  <w:style w:type="paragraph" w:customStyle="1" w:styleId="parrafo2">
    <w:name w:val="parrafo_2"/>
    <w:basedOn w:val="Normal"/>
    <w:rsid w:val="00736D5D"/>
    <w:pPr>
      <w:spacing w:before="100" w:beforeAutospacing="1" w:after="100" w:afterAutospacing="1"/>
    </w:pPr>
  </w:style>
  <w:style w:type="paragraph" w:customStyle="1" w:styleId="articulo">
    <w:name w:val="articulo"/>
    <w:basedOn w:val="Normal"/>
    <w:rsid w:val="00736D5D"/>
    <w:pPr>
      <w:spacing w:before="100" w:beforeAutospacing="1" w:after="100" w:afterAutospacing="1"/>
    </w:pPr>
  </w:style>
  <w:style w:type="character" w:customStyle="1" w:styleId="resalte">
    <w:name w:val="resalte"/>
    <w:basedOn w:val="Fuentedeprrafopredeter"/>
    <w:rsid w:val="006249B7"/>
  </w:style>
  <w:style w:type="paragraph" w:customStyle="1" w:styleId="parrafo1">
    <w:name w:val="parrafo1"/>
    <w:basedOn w:val="Normal"/>
    <w:rsid w:val="006249B7"/>
    <w:pPr>
      <w:spacing w:before="180" w:after="180"/>
      <w:ind w:firstLine="360"/>
      <w:jc w:val="both"/>
    </w:pPr>
  </w:style>
  <w:style w:type="paragraph" w:customStyle="1" w:styleId="articulo1">
    <w:name w:val="articulo1"/>
    <w:basedOn w:val="Normal"/>
    <w:rsid w:val="006249B7"/>
    <w:pPr>
      <w:spacing w:before="360" w:after="180"/>
    </w:pPr>
    <w:rPr>
      <w:b/>
      <w:bCs/>
    </w:rPr>
  </w:style>
  <w:style w:type="paragraph" w:customStyle="1" w:styleId="parrafo22">
    <w:name w:val="parrafo_22"/>
    <w:basedOn w:val="Normal"/>
    <w:rsid w:val="006249B7"/>
    <w:pPr>
      <w:spacing w:before="360" w:after="180"/>
      <w:ind w:firstLine="360"/>
      <w:jc w:val="both"/>
    </w:pPr>
  </w:style>
  <w:style w:type="character" w:customStyle="1" w:styleId="documentotitulo1">
    <w:name w:val="documentotitulo1"/>
    <w:basedOn w:val="Fuentedeprrafopredeter"/>
    <w:rsid w:val="00E62549"/>
  </w:style>
  <w:style w:type="paragraph" w:styleId="Textodeglobo">
    <w:name w:val="Balloon Text"/>
    <w:basedOn w:val="Normal"/>
    <w:link w:val="TextodegloboCar"/>
    <w:uiPriority w:val="99"/>
    <w:semiHidden/>
    <w:unhideWhenUsed/>
    <w:rsid w:val="00955C9D"/>
    <w:rPr>
      <w:rFonts w:ascii="Tahoma" w:hAnsi="Tahoma" w:cs="Tahoma"/>
      <w:sz w:val="16"/>
      <w:szCs w:val="16"/>
    </w:rPr>
  </w:style>
  <w:style w:type="character" w:customStyle="1" w:styleId="TextodegloboCar">
    <w:name w:val="Texto de globo Car"/>
    <w:basedOn w:val="Fuentedeprrafopredeter"/>
    <w:link w:val="Textodeglobo"/>
    <w:uiPriority w:val="99"/>
    <w:semiHidden/>
    <w:rsid w:val="00955C9D"/>
    <w:rPr>
      <w:rFonts w:ascii="Tahoma" w:eastAsia="Times New Roman" w:hAnsi="Tahoma" w:cs="Tahoma"/>
      <w:sz w:val="16"/>
      <w:szCs w:val="16"/>
    </w:rPr>
  </w:style>
  <w:style w:type="paragraph" w:styleId="TtulodeTDC">
    <w:name w:val="TOC Heading"/>
    <w:basedOn w:val="Ttulo1"/>
    <w:next w:val="Normal"/>
    <w:uiPriority w:val="39"/>
    <w:unhideWhenUsed/>
    <w:qFormat/>
    <w:rsid w:val="00EF5CBC"/>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Default">
    <w:name w:val="Default"/>
    <w:rsid w:val="00EF5CBC"/>
    <w:pPr>
      <w:autoSpaceDE w:val="0"/>
      <w:autoSpaceDN w:val="0"/>
      <w:adjustRightInd w:val="0"/>
    </w:pPr>
    <w:rPr>
      <w:rFonts w:ascii="Arial Unicode MS" w:eastAsia="Arial Unicode MS" w:hAnsiTheme="minorHAnsi" w:cs="Arial Unicode MS"/>
      <w:color w:val="000000"/>
      <w:sz w:val="24"/>
      <w:szCs w:val="24"/>
      <w:lang w:eastAsia="en-US"/>
    </w:rPr>
  </w:style>
  <w:style w:type="paragraph" w:customStyle="1" w:styleId="western">
    <w:name w:val="western"/>
    <w:basedOn w:val="Normal"/>
    <w:rsid w:val="00EF5CBC"/>
    <w:pPr>
      <w:spacing w:before="100" w:beforeAutospacing="1" w:line="360" w:lineRule="auto"/>
      <w:jc w:val="both"/>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66"/>
    <w:rPr>
      <w:rFonts w:ascii="Times New Roman" w:eastAsia="Times New Roman" w:hAnsi="Times New Roman"/>
      <w:sz w:val="24"/>
      <w:szCs w:val="24"/>
    </w:rPr>
  </w:style>
  <w:style w:type="paragraph" w:styleId="Ttulo1">
    <w:name w:val="heading 1"/>
    <w:basedOn w:val="Normal"/>
    <w:next w:val="Normal"/>
    <w:link w:val="Ttulo1Car"/>
    <w:uiPriority w:val="9"/>
    <w:qFormat/>
    <w:rsid w:val="0025111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251114"/>
    <w:pPr>
      <w:keepNext/>
      <w:widowControl w:val="0"/>
      <w:autoSpaceDE w:val="0"/>
      <w:autoSpaceDN w:val="0"/>
      <w:adjustRightInd w:val="0"/>
      <w:ind w:left="-993" w:right="6638"/>
      <w:jc w:val="center"/>
      <w:outlineLvl w:val="1"/>
    </w:pPr>
    <w:rPr>
      <w:rFonts w:ascii="Garamond" w:hAnsi="Garamond"/>
      <w:b/>
      <w:bCs/>
      <w:sz w:val="16"/>
      <w:szCs w:val="16"/>
      <w:lang w:val="es-ES_tradnl"/>
    </w:rPr>
  </w:style>
  <w:style w:type="paragraph" w:styleId="Ttulo3">
    <w:name w:val="heading 3"/>
    <w:basedOn w:val="Normal"/>
    <w:next w:val="Normal"/>
    <w:link w:val="Ttulo3Car"/>
    <w:qFormat/>
    <w:rsid w:val="00251114"/>
    <w:pPr>
      <w:keepNext/>
      <w:widowControl w:val="0"/>
      <w:autoSpaceDE w:val="0"/>
      <w:autoSpaceDN w:val="0"/>
      <w:adjustRightInd w:val="0"/>
      <w:ind w:left="-993" w:right="6638"/>
      <w:jc w:val="center"/>
      <w:outlineLvl w:val="2"/>
    </w:pPr>
    <w:rPr>
      <w:rFonts w:ascii="Garamond" w:hAnsi="Garamond"/>
      <w:b/>
      <w:bCs/>
      <w:sz w:val="20"/>
      <w:szCs w:val="22"/>
      <w:lang w:val="es-ES_tradnl"/>
    </w:rPr>
  </w:style>
  <w:style w:type="paragraph" w:styleId="Ttulo4">
    <w:name w:val="heading 4"/>
    <w:basedOn w:val="Normal"/>
    <w:next w:val="Normal"/>
    <w:link w:val="Ttulo4Car"/>
    <w:qFormat/>
    <w:rsid w:val="00251114"/>
    <w:pPr>
      <w:keepNext/>
      <w:spacing w:line="360" w:lineRule="auto"/>
      <w:ind w:left="851" w:right="567" w:firstLine="709"/>
      <w:jc w:val="center"/>
      <w:outlineLvl w:val="3"/>
    </w:pPr>
    <w:rPr>
      <w:rFonts w:ascii="Arial" w:hAnsi="Arial" w:cs="Arial"/>
      <w:b/>
      <w:bCs/>
    </w:rPr>
  </w:style>
  <w:style w:type="paragraph" w:styleId="Ttulo5">
    <w:name w:val="heading 5"/>
    <w:basedOn w:val="Normal"/>
    <w:next w:val="Normal"/>
    <w:link w:val="Ttulo5Car"/>
    <w:qFormat/>
    <w:rsid w:val="00251114"/>
    <w:pPr>
      <w:keepNext/>
      <w:widowControl w:val="0"/>
      <w:autoSpaceDE w:val="0"/>
      <w:autoSpaceDN w:val="0"/>
      <w:adjustRightInd w:val="0"/>
      <w:ind w:right="6801"/>
      <w:jc w:val="center"/>
      <w:outlineLvl w:val="4"/>
    </w:pPr>
    <w:rPr>
      <w:rFonts w:ascii="Garamond" w:hAnsi="Garamond"/>
      <w:b/>
      <w:bCs/>
      <w:sz w:val="16"/>
      <w:szCs w:val="22"/>
      <w:lang w:val="es-ES_tradnl"/>
    </w:rPr>
  </w:style>
  <w:style w:type="paragraph" w:styleId="Ttulo7">
    <w:name w:val="heading 7"/>
    <w:basedOn w:val="Normal"/>
    <w:next w:val="Normal"/>
    <w:link w:val="Ttulo7Car"/>
    <w:qFormat/>
    <w:rsid w:val="00251114"/>
    <w:pPr>
      <w:keepNext/>
      <w:spacing w:line="360" w:lineRule="auto"/>
      <w:ind w:left="851" w:firstLine="709"/>
      <w:jc w:val="both"/>
      <w:outlineLvl w:val="6"/>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1114"/>
    <w:rPr>
      <w:rFonts w:ascii="Cambria" w:eastAsia="Times New Roman" w:hAnsi="Cambria" w:cs="Times New Roman"/>
      <w:b/>
      <w:bCs/>
      <w:kern w:val="32"/>
      <w:sz w:val="32"/>
      <w:szCs w:val="32"/>
      <w:lang w:eastAsia="es-ES"/>
    </w:rPr>
  </w:style>
  <w:style w:type="character" w:customStyle="1" w:styleId="Ttulo2Car">
    <w:name w:val="Título 2 Car"/>
    <w:basedOn w:val="Fuentedeprrafopredeter"/>
    <w:link w:val="Ttulo2"/>
    <w:rsid w:val="00251114"/>
    <w:rPr>
      <w:rFonts w:ascii="Garamond" w:eastAsia="Times New Roman" w:hAnsi="Garamond" w:cs="Times New Roman"/>
      <w:b/>
      <w:bCs/>
      <w:sz w:val="16"/>
      <w:szCs w:val="16"/>
      <w:lang w:val="es-ES_tradnl" w:eastAsia="es-ES"/>
    </w:rPr>
  </w:style>
  <w:style w:type="character" w:customStyle="1" w:styleId="Ttulo3Car">
    <w:name w:val="Título 3 Car"/>
    <w:basedOn w:val="Fuentedeprrafopredeter"/>
    <w:link w:val="Ttulo3"/>
    <w:rsid w:val="00251114"/>
    <w:rPr>
      <w:rFonts w:ascii="Garamond" w:eastAsia="Times New Roman" w:hAnsi="Garamond" w:cs="Times New Roman"/>
      <w:b/>
      <w:bCs/>
      <w:sz w:val="20"/>
      <w:lang w:val="es-ES_tradnl" w:eastAsia="es-ES"/>
    </w:rPr>
  </w:style>
  <w:style w:type="character" w:customStyle="1" w:styleId="Ttulo4Car">
    <w:name w:val="Título 4 Car"/>
    <w:basedOn w:val="Fuentedeprrafopredeter"/>
    <w:link w:val="Ttulo4"/>
    <w:rsid w:val="00251114"/>
    <w:rPr>
      <w:rFonts w:ascii="Arial" w:eastAsia="Times New Roman" w:hAnsi="Arial" w:cs="Arial"/>
      <w:b/>
      <w:bCs/>
      <w:sz w:val="24"/>
      <w:szCs w:val="24"/>
      <w:lang w:eastAsia="es-ES"/>
    </w:rPr>
  </w:style>
  <w:style w:type="character" w:customStyle="1" w:styleId="Ttulo5Car">
    <w:name w:val="Título 5 Car"/>
    <w:basedOn w:val="Fuentedeprrafopredeter"/>
    <w:link w:val="Ttulo5"/>
    <w:rsid w:val="00251114"/>
    <w:rPr>
      <w:rFonts w:ascii="Garamond" w:eastAsia="Times New Roman" w:hAnsi="Garamond" w:cs="Times New Roman"/>
      <w:b/>
      <w:bCs/>
      <w:sz w:val="16"/>
      <w:lang w:val="es-ES_tradnl" w:eastAsia="es-ES"/>
    </w:rPr>
  </w:style>
  <w:style w:type="character" w:customStyle="1" w:styleId="Ttulo7Car">
    <w:name w:val="Título 7 Car"/>
    <w:basedOn w:val="Fuentedeprrafopredeter"/>
    <w:link w:val="Ttulo7"/>
    <w:rsid w:val="00251114"/>
    <w:rPr>
      <w:rFonts w:ascii="Arial" w:eastAsia="Times New Roman" w:hAnsi="Arial" w:cs="Arial"/>
      <w:b/>
      <w:bCs/>
      <w:sz w:val="24"/>
      <w:szCs w:val="24"/>
      <w:lang w:eastAsia="es-ES"/>
    </w:rPr>
  </w:style>
  <w:style w:type="paragraph" w:styleId="Textoindependiente">
    <w:name w:val="Body Text"/>
    <w:basedOn w:val="Normal"/>
    <w:link w:val="TextoindependienteCar"/>
    <w:semiHidden/>
    <w:rsid w:val="00251114"/>
    <w:rPr>
      <w:sz w:val="22"/>
      <w:szCs w:val="20"/>
      <w:lang w:val="es-ES_tradnl"/>
    </w:rPr>
  </w:style>
  <w:style w:type="character" w:customStyle="1" w:styleId="TextoindependienteCar">
    <w:name w:val="Texto independiente Car"/>
    <w:basedOn w:val="Fuentedeprrafopredeter"/>
    <w:link w:val="Textoindependiente"/>
    <w:semiHidden/>
    <w:rsid w:val="00251114"/>
    <w:rPr>
      <w:rFonts w:ascii="Times New Roman" w:eastAsia="Times New Roman" w:hAnsi="Times New Roman" w:cs="Times New Roman"/>
      <w:szCs w:val="20"/>
      <w:lang w:val="es-ES_tradnl" w:eastAsia="es-ES"/>
    </w:rPr>
  </w:style>
  <w:style w:type="paragraph" w:styleId="Textodebloque">
    <w:name w:val="Block Text"/>
    <w:basedOn w:val="Normal"/>
    <w:semiHidden/>
    <w:rsid w:val="00251114"/>
    <w:pPr>
      <w:spacing w:line="360" w:lineRule="auto"/>
      <w:ind w:left="567" w:right="567" w:firstLine="709"/>
      <w:jc w:val="both"/>
    </w:pPr>
    <w:rPr>
      <w:rFonts w:ascii="Arial" w:hAnsi="Arial" w:cs="Arial"/>
    </w:rPr>
  </w:style>
  <w:style w:type="paragraph" w:styleId="Encabezado">
    <w:name w:val="header"/>
    <w:basedOn w:val="Normal"/>
    <w:link w:val="EncabezadoCar"/>
    <w:semiHidden/>
    <w:rsid w:val="00251114"/>
    <w:pPr>
      <w:tabs>
        <w:tab w:val="center" w:pos="4252"/>
        <w:tab w:val="right" w:pos="8504"/>
      </w:tabs>
    </w:pPr>
  </w:style>
  <w:style w:type="character" w:customStyle="1" w:styleId="EncabezadoCar">
    <w:name w:val="Encabezado Car"/>
    <w:basedOn w:val="Fuentedeprrafopredeter"/>
    <w:link w:val="Encabezado"/>
    <w:semiHidden/>
    <w:rsid w:val="00251114"/>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semiHidden/>
    <w:rsid w:val="00251114"/>
    <w:pPr>
      <w:spacing w:line="360" w:lineRule="auto"/>
      <w:ind w:firstLine="709"/>
      <w:jc w:val="both"/>
    </w:pPr>
    <w:rPr>
      <w:rFonts w:ascii="Arial" w:hAnsi="Arial" w:cs="Arial"/>
      <w:sz w:val="22"/>
      <w:szCs w:val="22"/>
    </w:rPr>
  </w:style>
  <w:style w:type="character" w:customStyle="1" w:styleId="SangradetextonormalCar">
    <w:name w:val="Sangría de texto normal Car"/>
    <w:basedOn w:val="Fuentedeprrafopredeter"/>
    <w:link w:val="Sangradetextonormal"/>
    <w:semiHidden/>
    <w:rsid w:val="00251114"/>
    <w:rPr>
      <w:rFonts w:ascii="Arial" w:eastAsia="Times New Roman" w:hAnsi="Arial" w:cs="Arial"/>
      <w:lang w:eastAsia="es-ES"/>
    </w:rPr>
  </w:style>
  <w:style w:type="paragraph" w:styleId="Piedepgina">
    <w:name w:val="footer"/>
    <w:basedOn w:val="Normal"/>
    <w:link w:val="PiedepginaCar"/>
    <w:uiPriority w:val="99"/>
    <w:unhideWhenUsed/>
    <w:rsid w:val="00241183"/>
    <w:pPr>
      <w:tabs>
        <w:tab w:val="center" w:pos="4252"/>
        <w:tab w:val="right" w:pos="8504"/>
      </w:tabs>
    </w:pPr>
  </w:style>
  <w:style w:type="character" w:customStyle="1" w:styleId="PiedepginaCar">
    <w:name w:val="Pie de página Car"/>
    <w:basedOn w:val="Fuentedeprrafopredeter"/>
    <w:link w:val="Piedepgina"/>
    <w:uiPriority w:val="99"/>
    <w:rsid w:val="00241183"/>
    <w:rPr>
      <w:rFonts w:ascii="Times New Roman" w:eastAsia="Times New Roman" w:hAnsi="Times New Roman"/>
      <w:sz w:val="24"/>
      <w:szCs w:val="24"/>
    </w:rPr>
  </w:style>
  <w:style w:type="character" w:styleId="Hipervnculo">
    <w:name w:val="Hyperlink"/>
    <w:basedOn w:val="Fuentedeprrafopredeter"/>
    <w:uiPriority w:val="99"/>
    <w:unhideWhenUsed/>
    <w:rsid w:val="00AE27EF"/>
    <w:rPr>
      <w:color w:val="0000FF"/>
      <w:u w:val="single"/>
    </w:rPr>
  </w:style>
  <w:style w:type="paragraph" w:styleId="Prrafodelista">
    <w:name w:val="List Paragraph"/>
    <w:basedOn w:val="Normal"/>
    <w:uiPriority w:val="34"/>
    <w:qFormat/>
    <w:rsid w:val="00BC088A"/>
    <w:pPr>
      <w:spacing w:after="200" w:line="276" w:lineRule="auto"/>
      <w:ind w:left="720"/>
      <w:contextualSpacing/>
    </w:pPr>
    <w:rPr>
      <w:rFonts w:ascii="Calibri" w:eastAsia="Calibri" w:hAnsi="Calibri"/>
      <w:sz w:val="22"/>
      <w:szCs w:val="22"/>
      <w:lang w:eastAsia="en-US"/>
    </w:rPr>
  </w:style>
  <w:style w:type="character" w:styleId="nfasis">
    <w:name w:val="Emphasis"/>
    <w:basedOn w:val="Fuentedeprrafopredeter"/>
    <w:uiPriority w:val="20"/>
    <w:qFormat/>
    <w:rsid w:val="00BC088A"/>
    <w:rPr>
      <w:i/>
      <w:iCs/>
    </w:rPr>
  </w:style>
  <w:style w:type="character" w:styleId="Textoennegrita">
    <w:name w:val="Strong"/>
    <w:basedOn w:val="Fuentedeprrafopredeter"/>
    <w:uiPriority w:val="22"/>
    <w:qFormat/>
    <w:rsid w:val="00CF3DF7"/>
    <w:rPr>
      <w:b/>
      <w:bCs/>
    </w:rPr>
  </w:style>
  <w:style w:type="paragraph" w:customStyle="1" w:styleId="parrafo">
    <w:name w:val="parrafo"/>
    <w:basedOn w:val="Normal"/>
    <w:rsid w:val="00CF3DF7"/>
    <w:pPr>
      <w:spacing w:before="100" w:beforeAutospacing="1" w:after="100" w:afterAutospacing="1"/>
    </w:pPr>
  </w:style>
  <w:style w:type="paragraph" w:styleId="NormalWeb">
    <w:name w:val="Normal (Web)"/>
    <w:basedOn w:val="Normal"/>
    <w:uiPriority w:val="99"/>
    <w:unhideWhenUsed/>
    <w:rsid w:val="00CF3DF7"/>
    <w:pPr>
      <w:spacing w:before="100" w:beforeAutospacing="1" w:after="100" w:afterAutospacing="1"/>
    </w:pPr>
  </w:style>
  <w:style w:type="character" w:customStyle="1" w:styleId="apple-converted-space">
    <w:name w:val="apple-converted-space"/>
    <w:basedOn w:val="Fuentedeprrafopredeter"/>
    <w:rsid w:val="00CF3DF7"/>
  </w:style>
  <w:style w:type="character" w:customStyle="1" w:styleId="resalte5">
    <w:name w:val="resalte5"/>
    <w:basedOn w:val="Fuentedeprrafopredeter"/>
    <w:rsid w:val="00E66A51"/>
    <w:rPr>
      <w:color w:val="FF0B0B"/>
    </w:rPr>
  </w:style>
  <w:style w:type="character" w:customStyle="1" w:styleId="nota-resumen1">
    <w:name w:val="nota-resumen1"/>
    <w:basedOn w:val="Fuentedeprrafopredeter"/>
    <w:rsid w:val="00E66A51"/>
    <w:rPr>
      <w:b w:val="0"/>
      <w:bCs w:val="0"/>
      <w:i w:val="0"/>
      <w:iCs w:val="0"/>
      <w:color w:val="0148B2"/>
      <w:bdr w:val="single" w:sz="4" w:space="0" w:color="0148B2" w:frame="1"/>
      <w:shd w:val="clear" w:color="auto" w:fill="E2EDF5"/>
    </w:rPr>
  </w:style>
  <w:style w:type="paragraph" w:customStyle="1" w:styleId="Estilo">
    <w:name w:val="Estilo"/>
    <w:uiPriority w:val="99"/>
    <w:rsid w:val="00736D5D"/>
    <w:pPr>
      <w:widowControl w:val="0"/>
      <w:autoSpaceDE w:val="0"/>
      <w:autoSpaceDN w:val="0"/>
      <w:adjustRightInd w:val="0"/>
    </w:pPr>
    <w:rPr>
      <w:rFonts w:ascii="Times New Roman" w:eastAsia="Times New Roman" w:hAnsi="Times New Roman"/>
      <w:sz w:val="24"/>
      <w:szCs w:val="24"/>
    </w:rPr>
  </w:style>
  <w:style w:type="character" w:customStyle="1" w:styleId="divtexto">
    <w:name w:val="divtexto"/>
    <w:basedOn w:val="Fuentedeprrafopredeter"/>
    <w:uiPriority w:val="99"/>
    <w:rsid w:val="00736D5D"/>
  </w:style>
  <w:style w:type="paragraph" w:customStyle="1" w:styleId="parrafo2">
    <w:name w:val="parrafo_2"/>
    <w:basedOn w:val="Normal"/>
    <w:rsid w:val="00736D5D"/>
    <w:pPr>
      <w:spacing w:before="100" w:beforeAutospacing="1" w:after="100" w:afterAutospacing="1"/>
    </w:pPr>
  </w:style>
  <w:style w:type="paragraph" w:customStyle="1" w:styleId="articulo">
    <w:name w:val="articulo"/>
    <w:basedOn w:val="Normal"/>
    <w:rsid w:val="00736D5D"/>
    <w:pPr>
      <w:spacing w:before="100" w:beforeAutospacing="1" w:after="100" w:afterAutospacing="1"/>
    </w:pPr>
  </w:style>
  <w:style w:type="character" w:customStyle="1" w:styleId="resalte">
    <w:name w:val="resalte"/>
    <w:basedOn w:val="Fuentedeprrafopredeter"/>
    <w:rsid w:val="006249B7"/>
  </w:style>
  <w:style w:type="paragraph" w:customStyle="1" w:styleId="parrafo1">
    <w:name w:val="parrafo1"/>
    <w:basedOn w:val="Normal"/>
    <w:rsid w:val="006249B7"/>
    <w:pPr>
      <w:spacing w:before="180" w:after="180"/>
      <w:ind w:firstLine="360"/>
      <w:jc w:val="both"/>
    </w:pPr>
  </w:style>
  <w:style w:type="paragraph" w:customStyle="1" w:styleId="articulo1">
    <w:name w:val="articulo1"/>
    <w:basedOn w:val="Normal"/>
    <w:rsid w:val="006249B7"/>
    <w:pPr>
      <w:spacing w:before="360" w:after="180"/>
    </w:pPr>
    <w:rPr>
      <w:b/>
      <w:bCs/>
    </w:rPr>
  </w:style>
  <w:style w:type="paragraph" w:customStyle="1" w:styleId="parrafo22">
    <w:name w:val="parrafo_22"/>
    <w:basedOn w:val="Normal"/>
    <w:rsid w:val="006249B7"/>
    <w:pPr>
      <w:spacing w:before="360" w:after="180"/>
      <w:ind w:firstLine="360"/>
      <w:jc w:val="both"/>
    </w:pPr>
  </w:style>
  <w:style w:type="character" w:customStyle="1" w:styleId="documentotitulo1">
    <w:name w:val="documentotitulo1"/>
    <w:basedOn w:val="Fuentedeprrafopredeter"/>
    <w:rsid w:val="00E62549"/>
  </w:style>
  <w:style w:type="paragraph" w:styleId="Textodeglobo">
    <w:name w:val="Balloon Text"/>
    <w:basedOn w:val="Normal"/>
    <w:link w:val="TextodegloboCar"/>
    <w:uiPriority w:val="99"/>
    <w:semiHidden/>
    <w:unhideWhenUsed/>
    <w:rsid w:val="00955C9D"/>
    <w:rPr>
      <w:rFonts w:ascii="Tahoma" w:hAnsi="Tahoma" w:cs="Tahoma"/>
      <w:sz w:val="16"/>
      <w:szCs w:val="16"/>
    </w:rPr>
  </w:style>
  <w:style w:type="character" w:customStyle="1" w:styleId="TextodegloboCar">
    <w:name w:val="Texto de globo Car"/>
    <w:basedOn w:val="Fuentedeprrafopredeter"/>
    <w:link w:val="Textodeglobo"/>
    <w:uiPriority w:val="99"/>
    <w:semiHidden/>
    <w:rsid w:val="00955C9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6574755">
      <w:bodyDiv w:val="1"/>
      <w:marLeft w:val="0"/>
      <w:marRight w:val="0"/>
      <w:marTop w:val="0"/>
      <w:marBottom w:val="0"/>
      <w:divBdr>
        <w:top w:val="none" w:sz="0" w:space="0" w:color="auto"/>
        <w:left w:val="none" w:sz="0" w:space="0" w:color="auto"/>
        <w:bottom w:val="none" w:sz="0" w:space="0" w:color="auto"/>
        <w:right w:val="none" w:sz="0" w:space="0" w:color="auto"/>
      </w:divBdr>
      <w:divsChild>
        <w:div w:id="1428235664">
          <w:marLeft w:val="0"/>
          <w:marRight w:val="0"/>
          <w:marTop w:val="0"/>
          <w:marBottom w:val="0"/>
          <w:divBdr>
            <w:top w:val="none" w:sz="0" w:space="0" w:color="auto"/>
            <w:left w:val="none" w:sz="0" w:space="0" w:color="auto"/>
            <w:bottom w:val="none" w:sz="0" w:space="0" w:color="auto"/>
            <w:right w:val="none" w:sz="0" w:space="0" w:color="auto"/>
          </w:divBdr>
        </w:div>
      </w:divsChild>
    </w:div>
    <w:div w:id="314338641">
      <w:bodyDiv w:val="1"/>
      <w:marLeft w:val="0"/>
      <w:marRight w:val="0"/>
      <w:marTop w:val="0"/>
      <w:marBottom w:val="0"/>
      <w:divBdr>
        <w:top w:val="none" w:sz="0" w:space="0" w:color="auto"/>
        <w:left w:val="none" w:sz="0" w:space="0" w:color="auto"/>
        <w:bottom w:val="none" w:sz="0" w:space="0" w:color="auto"/>
        <w:right w:val="none" w:sz="0" w:space="0" w:color="auto"/>
      </w:divBdr>
    </w:div>
    <w:div w:id="337387407">
      <w:bodyDiv w:val="1"/>
      <w:marLeft w:val="0"/>
      <w:marRight w:val="0"/>
      <w:marTop w:val="0"/>
      <w:marBottom w:val="0"/>
      <w:divBdr>
        <w:top w:val="none" w:sz="0" w:space="0" w:color="auto"/>
        <w:left w:val="none" w:sz="0" w:space="0" w:color="auto"/>
        <w:bottom w:val="none" w:sz="0" w:space="0" w:color="auto"/>
        <w:right w:val="none" w:sz="0" w:space="0" w:color="auto"/>
      </w:divBdr>
    </w:div>
    <w:div w:id="448553250">
      <w:bodyDiv w:val="1"/>
      <w:marLeft w:val="0"/>
      <w:marRight w:val="0"/>
      <w:marTop w:val="0"/>
      <w:marBottom w:val="0"/>
      <w:divBdr>
        <w:top w:val="none" w:sz="0" w:space="0" w:color="auto"/>
        <w:left w:val="none" w:sz="0" w:space="0" w:color="auto"/>
        <w:bottom w:val="none" w:sz="0" w:space="0" w:color="auto"/>
        <w:right w:val="none" w:sz="0" w:space="0" w:color="auto"/>
      </w:divBdr>
    </w:div>
    <w:div w:id="874271265">
      <w:bodyDiv w:val="1"/>
      <w:marLeft w:val="0"/>
      <w:marRight w:val="0"/>
      <w:marTop w:val="0"/>
      <w:marBottom w:val="0"/>
      <w:divBdr>
        <w:top w:val="none" w:sz="0" w:space="0" w:color="auto"/>
        <w:left w:val="none" w:sz="0" w:space="0" w:color="auto"/>
        <w:bottom w:val="none" w:sz="0" w:space="0" w:color="auto"/>
        <w:right w:val="none" w:sz="0" w:space="0" w:color="auto"/>
      </w:divBdr>
    </w:div>
    <w:div w:id="1225918586">
      <w:bodyDiv w:val="1"/>
      <w:marLeft w:val="0"/>
      <w:marRight w:val="0"/>
      <w:marTop w:val="0"/>
      <w:marBottom w:val="0"/>
      <w:divBdr>
        <w:top w:val="none" w:sz="0" w:space="0" w:color="auto"/>
        <w:left w:val="none" w:sz="0" w:space="0" w:color="auto"/>
        <w:bottom w:val="none" w:sz="0" w:space="0" w:color="auto"/>
        <w:right w:val="none" w:sz="0" w:space="0" w:color="auto"/>
      </w:divBdr>
    </w:div>
    <w:div w:id="1279215237">
      <w:bodyDiv w:val="1"/>
      <w:marLeft w:val="0"/>
      <w:marRight w:val="0"/>
      <w:marTop w:val="0"/>
      <w:marBottom w:val="0"/>
      <w:divBdr>
        <w:top w:val="none" w:sz="0" w:space="0" w:color="auto"/>
        <w:left w:val="none" w:sz="0" w:space="0" w:color="auto"/>
        <w:bottom w:val="none" w:sz="0" w:space="0" w:color="auto"/>
        <w:right w:val="none" w:sz="0" w:space="0" w:color="auto"/>
      </w:divBdr>
    </w:div>
    <w:div w:id="1483544514">
      <w:bodyDiv w:val="1"/>
      <w:marLeft w:val="0"/>
      <w:marRight w:val="0"/>
      <w:marTop w:val="0"/>
      <w:marBottom w:val="0"/>
      <w:divBdr>
        <w:top w:val="none" w:sz="0" w:space="0" w:color="auto"/>
        <w:left w:val="none" w:sz="0" w:space="0" w:color="auto"/>
        <w:bottom w:val="none" w:sz="0" w:space="0" w:color="auto"/>
        <w:right w:val="none" w:sz="0" w:space="0" w:color="auto"/>
      </w:divBdr>
    </w:div>
    <w:div w:id="1661884449">
      <w:bodyDiv w:val="1"/>
      <w:marLeft w:val="0"/>
      <w:marRight w:val="0"/>
      <w:marTop w:val="0"/>
      <w:marBottom w:val="0"/>
      <w:divBdr>
        <w:top w:val="none" w:sz="0" w:space="0" w:color="auto"/>
        <w:left w:val="none" w:sz="0" w:space="0" w:color="auto"/>
        <w:bottom w:val="none" w:sz="0" w:space="0" w:color="auto"/>
        <w:right w:val="none" w:sz="0" w:space="0" w:color="auto"/>
      </w:divBdr>
    </w:div>
    <w:div w:id="1936816785">
      <w:bodyDiv w:val="1"/>
      <w:marLeft w:val="0"/>
      <w:marRight w:val="0"/>
      <w:marTop w:val="0"/>
      <w:marBottom w:val="0"/>
      <w:divBdr>
        <w:top w:val="none" w:sz="0" w:space="0" w:color="auto"/>
        <w:left w:val="none" w:sz="0" w:space="0" w:color="auto"/>
        <w:bottom w:val="none" w:sz="0" w:space="0" w:color="auto"/>
        <w:right w:val="none" w:sz="0" w:space="0" w:color="auto"/>
      </w:divBdr>
    </w:div>
    <w:div w:id="1965849065">
      <w:bodyDiv w:val="1"/>
      <w:marLeft w:val="0"/>
      <w:marRight w:val="0"/>
      <w:marTop w:val="0"/>
      <w:marBottom w:val="0"/>
      <w:divBdr>
        <w:top w:val="none" w:sz="0" w:space="0" w:color="auto"/>
        <w:left w:val="none" w:sz="0" w:space="0" w:color="auto"/>
        <w:bottom w:val="none" w:sz="0" w:space="0" w:color="auto"/>
        <w:right w:val="none" w:sz="0" w:space="0" w:color="auto"/>
      </w:divBdr>
    </w:div>
    <w:div w:id="198084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FADCE-4E21-42FC-B37F-A90061DF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64</Pages>
  <Words>22947</Words>
  <Characters>126213</Characters>
  <Application>Microsoft Office Word</Application>
  <DocSecurity>0</DocSecurity>
  <Lines>1051</Lines>
  <Paragraphs>297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jdelavara</cp:lastModifiedBy>
  <cp:revision>4</cp:revision>
  <cp:lastPrinted>2018-12-21T11:36:00Z</cp:lastPrinted>
  <dcterms:created xsi:type="dcterms:W3CDTF">2018-12-28T09:01:00Z</dcterms:created>
  <dcterms:modified xsi:type="dcterms:W3CDTF">2018-12-28T12:11:00Z</dcterms:modified>
</cp:coreProperties>
</file>